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Calibri" w:hAnsi="Calibri"/>
          <w:b/>
          <w:i w:val="0"/>
          <w:color w:val="12283F"/>
          <w:sz w:val="36"/>
        </w:rPr>
        <w:t>DARYNE VOUFO</w:t>
      </w:r>
    </w:p>
    <w:p>
      <w:pPr>
        <w:spacing w:after="20" w:before="0"/>
        <w:jc w:val="center"/>
      </w:pPr>
      <w:r>
        <w:rPr>
          <w:rFonts w:ascii="Calibri" w:hAnsi="Calibri"/>
          <w:b w:val="0"/>
          <w:i w:val="0"/>
          <w:color w:val="A9793F"/>
          <w:sz w:val="20"/>
        </w:rPr>
        <w:t>Consultant Junior Marketing Digital | CRM | Data | Automation | Parcours client</w:t>
      </w:r>
    </w:p>
    <w:p>
      <w:pPr>
        <w:spacing w:after="20" w:before="0"/>
        <w:jc w:val="center"/>
      </w:pPr>
      <w:r>
        <w:rPr>
          <w:rFonts w:ascii="Calibri" w:hAnsi="Calibri"/>
          <w:b w:val="0"/>
          <w:i w:val="0"/>
          <w:color w:val="5B6472"/>
          <w:sz w:val="16"/>
        </w:rPr>
        <w:t>voufodaryne072@gmail.com · +33 (0)7 53 15 76 27 · linkedin.com/in/daryne-voufo · Paris / Île-de-France</w:t>
      </w:r>
    </w:p>
    <w:p>
      <w:pPr>
        <w:spacing w:after="60" w:before="0"/>
        <w:jc w:val="center"/>
      </w:pPr>
      <w:r>
        <w:rPr>
          <w:rFonts w:ascii="Calibri" w:hAnsi="Calibri"/>
          <w:b w:val="0"/>
          <w:i/>
          <w:color w:val="A9793F"/>
          <w:sz w:val="16"/>
        </w:rPr>
        <w:t>Portfolio : [lien à ajouter]</w:t>
      </w:r>
    </w:p>
    <w:p>
      <w:pPr>
        <w:spacing w:before="120" w:after="50"/>
        <w:pBdr>
          <w:bottom w:val="single" w:sz="5" w:space="2" w:color="12283F"/>
        </w:pBdr>
      </w:pPr>
      <w:r>
        <w:rPr>
          <w:rFonts w:ascii="Calibri" w:hAnsi="Calibri"/>
          <w:b/>
          <w:color w:val="A9793F"/>
          <w:sz w:val="20"/>
        </w:rPr>
        <w:t>PROFIL</w:t>
      </w:r>
    </w:p>
    <w:p>
      <w:pPr>
        <w:spacing w:after="52" w:before="0"/>
        <w:jc w:val="left"/>
      </w:pPr>
      <w:r>
        <w:rPr>
          <w:rFonts w:ascii="Calibri" w:hAnsi="Calibri"/>
          <w:b w:val="0"/>
          <w:i w:val="0"/>
          <w:color w:val="1D2530"/>
          <w:sz w:val="18"/>
        </w:rPr>
        <w:t>Diplômée d'un Master 2 en Digitalisation des Parcours Clients, avec une expérience en CRM, marketing automation et acquisition multicanale en environnement Agile. À l'aise sur des sujets de data marketing, de reporting KPI, d'optimisation de parcours clients et d'activation digitale, avec une forte appétence pour la transformation digitale, les technologies et l'IA appliquées au marketing. Disponible immédiatement.</w:t>
      </w:r>
    </w:p>
    <w:p>
      <w:pPr>
        <w:spacing w:before="120" w:after="50"/>
        <w:pBdr>
          <w:bottom w:val="single" w:sz="5" w:space="2" w:color="12283F"/>
        </w:pBdr>
      </w:pPr>
      <w:r>
        <w:rPr>
          <w:rFonts w:ascii="Calibri" w:hAnsi="Calibri"/>
          <w:b/>
          <w:color w:val="A9793F"/>
          <w:sz w:val="20"/>
        </w:rPr>
        <w:t>COMPÉTENCES CLÉS</w:t>
      </w:r>
    </w:p>
    <w:p>
      <w:pPr>
        <w:spacing w:after="28" w:before="0"/>
        <w:jc w:val="left"/>
      </w:pPr>
      <w:r>
        <w:rPr>
          <w:rFonts w:ascii="Calibri" w:hAnsi="Calibri"/>
          <w:b w:val="0"/>
          <w:i w:val="0"/>
          <w:color w:val="1D2530"/>
          <w:sz w:val="18"/>
        </w:rPr>
        <w:t>CRM &amp; Marketing Automation : Salesforce CRM, Salesforce Pardot, HubSpot, Webmecanik, Mailchimp - segmentation, nurturing, lead scoring, workflows</w:t>
      </w:r>
    </w:p>
    <w:p>
      <w:pPr>
        <w:spacing w:after="28" w:before="0"/>
        <w:jc w:val="left"/>
      </w:pPr>
      <w:r>
        <w:rPr>
          <w:rFonts w:ascii="Calibri" w:hAnsi="Calibri"/>
          <w:b w:val="0"/>
          <w:i w:val="0"/>
          <w:color w:val="1D2530"/>
          <w:sz w:val="18"/>
        </w:rPr>
        <w:t>Acquisition &amp; Campagnes : Google Ads, LinkedIn Ads, emailing, outbound, LinkedIn automation, A/B testing, attribution multicanale, social media</w:t>
      </w:r>
    </w:p>
    <w:p>
      <w:pPr>
        <w:spacing w:after="28" w:before="0"/>
        <w:jc w:val="left"/>
      </w:pPr>
      <w:r>
        <w:rPr>
          <w:rFonts w:ascii="Calibri" w:hAnsi="Calibri"/>
          <w:b w:val="0"/>
          <w:i w:val="0"/>
          <w:color w:val="1D2530"/>
          <w:sz w:val="18"/>
        </w:rPr>
        <w:t>Data &amp; Reporting : Power BI, Excel VBA, Google Analytics 4, Matomo, SQL, Python/pandas</w:t>
      </w:r>
    </w:p>
    <w:p>
      <w:pPr>
        <w:spacing w:after="28" w:before="0"/>
        <w:jc w:val="left"/>
      </w:pPr>
      <w:r>
        <w:rPr>
          <w:rFonts w:ascii="Calibri" w:hAnsi="Calibri"/>
          <w:b w:val="0"/>
          <w:i w:val="0"/>
          <w:color w:val="1D2530"/>
          <w:sz w:val="18"/>
        </w:rPr>
        <w:t>Gestion de projet : Agile/Scrum, coordination marketing-sales, expression de besoins, pilotage KPI, reporting parties prenantes</w:t>
      </w:r>
    </w:p>
    <w:p>
      <w:pPr>
        <w:spacing w:after="28" w:before="0"/>
        <w:jc w:val="left"/>
      </w:pPr>
      <w:r>
        <w:rPr>
          <w:rFonts w:ascii="Calibri" w:hAnsi="Calibri"/>
          <w:b w:val="0"/>
          <w:i w:val="0"/>
          <w:color w:val="1D2530"/>
          <w:sz w:val="18"/>
        </w:rPr>
        <w:t>Conformité &amp; données : RGPD - gestion opt-in, désinscription</w:t>
      </w:r>
    </w:p>
    <w:p>
      <w:pPr>
        <w:spacing w:after="52" w:before="0"/>
        <w:jc w:val="left"/>
      </w:pPr>
      <w:r>
        <w:rPr>
          <w:rFonts w:ascii="Calibri" w:hAnsi="Calibri"/>
          <w:b w:val="0"/>
          <w:i w:val="0"/>
          <w:color w:val="1D2530"/>
          <w:sz w:val="18"/>
        </w:rPr>
        <w:t>Outils collab. : Jira, Notion, Google Workspace, Microsoft 365</w:t>
      </w:r>
    </w:p>
    <w:p>
      <w:pPr>
        <w:spacing w:before="120" w:after="50"/>
        <w:pBdr>
          <w:bottom w:val="single" w:sz="5" w:space="2" w:color="12283F"/>
        </w:pBdr>
      </w:pPr>
      <w:r>
        <w:rPr>
          <w:rFonts w:ascii="Calibri" w:hAnsi="Calibri"/>
          <w:b/>
          <w:color w:val="A9793F"/>
          <w:sz w:val="20"/>
        </w:rPr>
        <w:t>EXPÉRIENCES PROFESSIONNELLES</w:t>
      </w:r>
    </w:p>
    <w:p>
      <w:pPr>
        <w:spacing w:after="20" w:before="0"/>
        <w:jc w:val="left"/>
      </w:pPr>
      <w:r>
        <w:rPr>
          <w:rFonts w:ascii="Calibri" w:hAnsi="Calibri"/>
          <w:b/>
          <w:i w:val="0"/>
          <w:color w:val="1D2530"/>
          <w:sz w:val="18"/>
        </w:rPr>
        <w:t>Digital Marketing Officer — Lemonway, Paris (09/2024–09/2025)</w:t>
      </w:r>
    </w:p>
    <w:p>
      <w:pPr>
        <w:pStyle w:val="ListBullet"/>
        <w:spacing w:after="20"/>
      </w:pPr>
      <w:r>
        <w:rPr>
          <w:rFonts w:ascii="Calibri" w:hAnsi="Calibri"/>
          <w:color w:val="1D2530"/>
          <w:sz w:val="17"/>
        </w:rPr>
        <w:t>Déployé 4 scénarios de marketing automation sous Salesforce Pardot, exigences RGPD intégrées — 40% de temps de traitement manuel en moins</w:t>
      </w:r>
    </w:p>
    <w:p>
      <w:pPr>
        <w:pStyle w:val="ListBullet"/>
        <w:spacing w:after="20"/>
      </w:pPr>
      <w:r>
        <w:rPr>
          <w:rFonts w:ascii="Calibri" w:hAnsi="Calibri"/>
          <w:color w:val="1D2530"/>
          <w:sz w:val="17"/>
        </w:rPr>
        <w:t>Amélioré le taux d'ouverture emailing de 20% via A/B testing systématique (objets, CTA, horaires) et scoring comportemental</w:t>
      </w:r>
    </w:p>
    <w:p>
      <w:pPr>
        <w:pStyle w:val="ListBullet"/>
        <w:spacing w:after="20"/>
      </w:pPr>
      <w:r>
        <w:rPr>
          <w:rFonts w:ascii="Calibri" w:hAnsi="Calibri"/>
          <w:color w:val="1D2530"/>
          <w:sz w:val="17"/>
        </w:rPr>
        <w:t>Segmenté et qualifié une base de 8 000 contacts Salesforce CRM — 30% de leads non exploitables en moins en 3 mois</w:t>
      </w:r>
    </w:p>
    <w:p>
      <w:pPr>
        <w:pStyle w:val="ListBullet"/>
        <w:spacing w:after="20"/>
      </w:pPr>
      <w:r>
        <w:rPr>
          <w:rFonts w:ascii="Calibri" w:hAnsi="Calibri"/>
          <w:color w:val="1D2530"/>
          <w:sz w:val="17"/>
        </w:rPr>
        <w:t>Piloté 6 campagnes multicanales simultanées — 90 leads qualifiés par mois en moyenne</w:t>
      </w:r>
    </w:p>
    <w:p>
      <w:pPr>
        <w:pStyle w:val="ListBullet"/>
        <w:spacing w:after="20"/>
      </w:pPr>
      <w:r>
        <w:rPr>
          <w:rFonts w:ascii="Calibri" w:hAnsi="Calibri"/>
          <w:color w:val="1D2530"/>
          <w:sz w:val="17"/>
        </w:rPr>
        <w:t>Structuré un process de qualification marketing-sales (critères BANT, SLA), suivi bi-hebdomadaire des performances</w:t>
      </w:r>
    </w:p>
    <w:p>
      <w:pPr>
        <w:pStyle w:val="ListBullet"/>
        <w:spacing w:after="20"/>
      </w:pPr>
      <w:r>
        <w:rPr>
          <w:rFonts w:ascii="Calibri" w:hAnsi="Calibri"/>
          <w:color w:val="1D2530"/>
          <w:sz w:val="17"/>
        </w:rPr>
        <w:t>Construit 2 dashboards de suivi acquisition (Excel VBA, Matomo) pour le reporting hebdomadaire marketing/commercial</w:t>
      </w:r>
    </w:p>
    <w:p>
      <w:pPr>
        <w:spacing w:after="20" w:before="80"/>
        <w:jc w:val="left"/>
      </w:pPr>
      <w:r>
        <w:rPr>
          <w:rFonts w:ascii="Calibri" w:hAnsi="Calibri"/>
          <w:b/>
          <w:i w:val="0"/>
          <w:color w:val="1D2530"/>
          <w:sz w:val="18"/>
        </w:rPr>
        <w:t>Chargée de Marketing Digital — CFPE France Parrainages, Paris (08/2023–01/2024)</w:t>
      </w:r>
    </w:p>
    <w:p>
      <w:pPr>
        <w:pStyle w:val="ListBullet"/>
        <w:spacing w:after="20"/>
      </w:pPr>
      <w:r>
        <w:rPr>
          <w:rFonts w:ascii="Calibri" w:hAnsi="Calibri"/>
          <w:color w:val="1D2530"/>
          <w:sz w:val="17"/>
        </w:rPr>
        <w:t>Conçu et piloté 8 campagnes emailing mensuelles (Webmecanik, segmentation CRM) — délivrabilité maintenue à 97%</w:t>
      </w:r>
    </w:p>
    <w:p>
      <w:pPr>
        <w:pStyle w:val="ListBullet"/>
        <w:spacing w:after="20"/>
      </w:pPr>
      <w:r>
        <w:rPr>
          <w:rFonts w:ascii="Calibri" w:hAnsi="Calibri"/>
          <w:color w:val="1D2530"/>
          <w:sz w:val="17"/>
        </w:rPr>
        <w:t>Optimisé 5 parcours utilisateurs clés (GA4, SEO on-page, arborescence, CTA) — taux de rebond réduit de 18%</w:t>
      </w:r>
    </w:p>
    <w:p>
      <w:pPr>
        <w:pStyle w:val="ListBullet"/>
        <w:spacing w:after="20"/>
      </w:pPr>
      <w:r>
        <w:rPr>
          <w:rFonts w:ascii="Calibri" w:hAnsi="Calibri"/>
          <w:color w:val="1D2530"/>
          <w:sz w:val="17"/>
        </w:rPr>
        <w:t>Analyse concurrentielle de 5 acteurs du secteur associatif — 7 recommandations intégrées au plan d'action Q1 2024</w:t>
      </w:r>
    </w:p>
    <w:p>
      <w:pPr>
        <w:spacing w:after="20" w:before="80"/>
        <w:jc w:val="left"/>
      </w:pPr>
      <w:r>
        <w:rPr>
          <w:rFonts w:ascii="Calibri" w:hAnsi="Calibri"/>
          <w:b/>
          <w:i w:val="0"/>
          <w:color w:val="1D2530"/>
          <w:sz w:val="18"/>
        </w:rPr>
        <w:t>Assistante Chef de Produit — American Cola, Douala, Cameroun (03/2022–08/2022)</w:t>
      </w:r>
    </w:p>
    <w:p>
      <w:pPr>
        <w:pStyle w:val="ListBullet"/>
        <w:spacing w:after="20"/>
      </w:pPr>
      <w:r>
        <w:rPr>
          <w:rFonts w:ascii="Calibri" w:hAnsi="Calibri"/>
          <w:color w:val="1D2530"/>
          <w:sz w:val="17"/>
        </w:rPr>
        <w:t>Étude de marché auprès de 120 consommateurs et veille concurrentielle sur 6 acteurs pour préparer le lancement produit</w:t>
      </w:r>
    </w:p>
    <w:p>
      <w:pPr>
        <w:pStyle w:val="ListBullet"/>
        <w:spacing w:after="20"/>
      </w:pPr>
      <w:r>
        <w:rPr>
          <w:rFonts w:ascii="Calibri" w:hAnsi="Calibri"/>
          <w:color w:val="1D2530"/>
          <w:sz w:val="17"/>
        </w:rPr>
        <w:t>Analysé les performances commerciales post-lancement, insights formalisés dans un rapport mensuel à destination de la direction</w:t>
      </w:r>
    </w:p>
    <w:p>
      <w:pPr>
        <w:spacing w:before="120" w:after="50"/>
        <w:pBdr>
          <w:bottom w:val="single" w:sz="5" w:space="2" w:color="12283F"/>
        </w:pBdr>
      </w:pPr>
      <w:r>
        <w:rPr>
          <w:rFonts w:ascii="Calibri" w:hAnsi="Calibri"/>
          <w:b/>
          <w:color w:val="A9793F"/>
          <w:sz w:val="20"/>
        </w:rPr>
        <w:t>FORMATION</w:t>
      </w:r>
    </w:p>
    <w:p>
      <w:pPr>
        <w:spacing w:after="16" w:before="0"/>
        <w:jc w:val="left"/>
      </w:pPr>
      <w:r>
        <w:rPr>
          <w:rFonts w:ascii="Calibri" w:hAnsi="Calibri"/>
          <w:b/>
          <w:i w:val="0"/>
          <w:color w:val="1D2530"/>
          <w:sz w:val="18"/>
        </w:rPr>
        <w:t>Master 2 - Digitalisation des Parcours Clients — EM Strasbourg Business School (2024–2025)</w:t>
      </w:r>
    </w:p>
    <w:p>
      <w:pPr>
        <w:spacing w:after="32" w:before="0"/>
        <w:jc w:val="left"/>
      </w:pPr>
      <w:r>
        <w:rPr>
          <w:rFonts w:ascii="Calibri" w:hAnsi="Calibri"/>
          <w:b w:val="0"/>
          <w:i w:val="0"/>
          <w:color w:val="1D2530"/>
          <w:sz w:val="17"/>
        </w:rPr>
        <w:t>Data Marketing &amp; Business Intelligence · Marketing Automation · Parcours omnicanal · RGPD appliqué</w:t>
      </w:r>
    </w:p>
    <w:p>
      <w:pPr>
        <w:spacing w:after="16" w:before="0"/>
        <w:jc w:val="left"/>
      </w:pPr>
      <w:r>
        <w:rPr>
          <w:rFonts w:ascii="Calibri" w:hAnsi="Calibri"/>
          <w:b/>
          <w:i w:val="0"/>
          <w:color w:val="1D2530"/>
          <w:sz w:val="18"/>
        </w:rPr>
        <w:t>Master 1 - Marketing &amp; Relation Clients — EM Strasbourg Business School (2022–2023)</w:t>
      </w:r>
    </w:p>
    <w:p>
      <w:pPr>
        <w:spacing w:after="52" w:before="0"/>
        <w:jc w:val="left"/>
      </w:pPr>
      <w:r>
        <w:rPr>
          <w:rFonts w:ascii="Calibri" w:hAnsi="Calibri"/>
          <w:b w:val="0"/>
          <w:i w:val="0"/>
          <w:color w:val="1D2530"/>
          <w:sz w:val="17"/>
        </w:rPr>
        <w:t>Growth Hacking · Acquisition client · Transformation digitale · Technologies web</w:t>
      </w:r>
    </w:p>
    <w:p>
      <w:pPr>
        <w:spacing w:before="120" w:after="50"/>
        <w:pBdr>
          <w:bottom w:val="single" w:sz="5" w:space="2" w:color="12283F"/>
        </w:pBdr>
      </w:pPr>
      <w:r>
        <w:rPr>
          <w:rFonts w:ascii="Calibri" w:hAnsi="Calibri"/>
          <w:b/>
          <w:color w:val="A9793F"/>
          <w:sz w:val="20"/>
        </w:rPr>
        <w:t>LANGUES &amp; QUALITÉS</w:t>
      </w:r>
    </w:p>
    <w:p>
      <w:pPr>
        <w:spacing w:after="28" w:before="0"/>
        <w:jc w:val="left"/>
      </w:pPr>
      <w:r>
        <w:rPr>
          <w:rFonts w:ascii="Calibri" w:hAnsi="Calibri"/>
          <w:b w:val="0"/>
          <w:i w:val="0"/>
          <w:color w:val="1D2530"/>
          <w:sz w:val="18"/>
        </w:rPr>
        <w:t>Langues : Français C2, Anglais C2, Espagnol A2</w:t>
      </w:r>
    </w:p>
    <w:p>
      <w:pPr>
        <w:spacing w:after="0" w:before="0"/>
        <w:jc w:val="left"/>
      </w:pPr>
      <w:r>
        <w:rPr>
          <w:rFonts w:ascii="Calibri" w:hAnsi="Calibri"/>
          <w:b w:val="0"/>
          <w:i w:val="0"/>
          <w:color w:val="1D2530"/>
          <w:sz w:val="18"/>
        </w:rPr>
        <w:t>Qualités : Respectueuse d'échéance, communication, esprit d'équipe, force de proposition</w:t>
      </w:r>
    </w:p>
    <w:sectPr w:rsidR="00FC693F" w:rsidRPr="0006063C" w:rsidSect="00034616">
      <w:pgSz w:w="12240" w:h="15840"/>
      <w:pgMar w:top="567" w:right="850" w:bottom="51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