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0 — Vermittlungsvereinbarung (Vorlage)</w:t>
      </w:r>
    </w:p>
    <w:tbl>
      <w:tblPr>
        <w:tblStyle w:val="TableGrid"/>
        <w:tblW w:type="auto" w:w="0"/>
        <w:jc w:val="left"/>
        <w:tblLook w:firstColumn="1" w:firstRow="1" w:lastColumn="0" w:lastRow="0" w:noHBand="0" w:noVBand="1" w:val="04A0"/>
      </w:tblPr>
      <w:tblGrid>
        <w:gridCol w:w="4703"/>
        <w:gridCol w:w="4703"/>
      </w:tblGrid>
      <w:tr>
        <w:tc>
          <w:tcPr>
            <w:tcW w:type="dxa" w:w="4703"/>
            <w:shd w:fill="2d2d44" w:val="clear"/>
          </w:tcPr>
          <w:p>
            <w:pPr>
              <w:jc w:val="left"/>
            </w:pPr>
            <w:r/>
            <w:r>
              <w:rPr>
                <w:rFonts w:ascii="Calibri" w:hAnsi="Calibri"/>
                <w:b/>
                <w:color w:val="FFFFFF"/>
                <w:sz w:val="19"/>
              </w:rPr>
              <w:t>Field</w:t>
            </w:r>
          </w:p>
        </w:tc>
        <w:tc>
          <w:tcPr>
            <w:tcW w:type="dxa" w:w="4703"/>
            <w:shd w:fill="2d2d44" w:val="clear"/>
          </w:tcPr>
          <w:p>
            <w:pPr>
              <w:jc w:val="left"/>
            </w:pPr>
            <w:r/>
            <w:r>
              <w:rPr>
                <w:rFonts w:ascii="Calibri" w:hAnsi="Calibri"/>
                <w:b/>
                <w:color w:val="FFFFFF"/>
                <w:sz w:val="19"/>
              </w:rPr>
              <w:t>Value</w:t>
            </w:r>
          </w:p>
        </w:tc>
      </w:tr>
      <w:tr>
        <w:tc>
          <w:tcPr>
            <w:tcW w:type="dxa" w:w="4703"/>
          </w:tcPr>
          <w:p>
            <w:r/>
            <w:r>
              <w:rPr>
                <w:rFonts w:ascii="Calibri" w:hAnsi="Calibri"/>
                <w:b/>
                <w:color w:val="333333"/>
                <w:sz w:val="19"/>
              </w:rPr>
              <w:t>Document</w:t>
            </w:r>
          </w:p>
        </w:tc>
        <w:tc>
          <w:tcPr>
            <w:tcW w:type="dxa" w:w="4703"/>
          </w:tcPr>
          <w:p>
            <w:r/>
            <w:r>
              <w:rPr>
                <w:rFonts w:ascii="Calibri" w:hAnsi="Calibri"/>
                <w:color w:val="333333"/>
                <w:sz w:val="19"/>
              </w:rPr>
              <w:t>08 — Vermittlungsvereinbarung gemäß § 652 BGB</w:t>
            </w:r>
          </w:p>
        </w:tc>
      </w:tr>
      <w:tr>
        <w:tc>
          <w:tcPr>
            <w:tcW w:type="dxa" w:w="4703"/>
            <w:shd w:fill="F5F5F8" w:val="clear"/>
          </w:tcPr>
          <w:p>
            <w:r/>
            <w:r>
              <w:rPr>
                <w:rFonts w:ascii="Calibri" w:hAnsi="Calibri"/>
                <w:b/>
                <w:color w:val="333333"/>
                <w:sz w:val="19"/>
              </w:rPr>
              <w:t>Date</w:t>
            </w:r>
          </w:p>
        </w:tc>
        <w:tc>
          <w:tcPr>
            <w:tcW w:type="dxa" w:w="4703"/>
            <w:shd w:fill="F5F5F8" w:val="clear"/>
          </w:tcPr>
          <w:p>
            <w:r/>
            <w:r>
              <w:rPr>
                <w:rFonts w:ascii="Calibri" w:hAnsi="Calibri"/>
                <w:color w:val="333333"/>
                <w:sz w:val="19"/>
              </w:rPr>
              <w:t>2026-03-15</w:t>
            </w:r>
          </w:p>
        </w:tc>
      </w:tr>
      <w:tr>
        <w:tc>
          <w:tcPr>
            <w:tcW w:type="dxa" w:w="4703"/>
          </w:tcPr>
          <w:p>
            <w:r/>
            <w:r>
              <w:rPr>
                <w:rFonts w:ascii="Calibri" w:hAnsi="Calibri"/>
                <w:b/>
                <w:color w:val="333333"/>
                <w:sz w:val="19"/>
              </w:rPr>
              <w:t>Updated</w:t>
            </w:r>
          </w:p>
        </w:tc>
        <w:tc>
          <w:tcPr>
            <w:tcW w:type="dxa" w:w="4703"/>
          </w:tcPr>
          <w:p>
            <w:r/>
            <w:r>
              <w:rPr>
                <w:rFonts w:ascii="Calibri" w:hAnsi="Calibri"/>
                <w:color w:val="333333"/>
                <w:sz w:val="19"/>
              </w:rPr>
              <w:t>2026-03-25 (nach anwaltlichem Feedback)</w:t>
            </w:r>
          </w:p>
        </w:tc>
      </w:tr>
      <w:tr>
        <w:tc>
          <w:tcPr>
            <w:tcW w:type="dxa" w:w="4703"/>
            <w:shd w:fill="F5F5F8" w:val="clear"/>
          </w:tcPr>
          <w:p>
            <w:r/>
            <w:r>
              <w:rPr>
                <w:rFonts w:ascii="Calibri" w:hAnsi="Calibri"/>
                <w:b/>
                <w:color w:val="333333"/>
                <w:sz w:val="19"/>
              </w:rPr>
              <w:t>Author</w:t>
            </w:r>
          </w:p>
        </w:tc>
        <w:tc>
          <w:tcPr>
            <w:tcW w:type="dxa" w:w="4703"/>
            <w:shd w:fill="F5F5F8" w:val="clear"/>
          </w:tcPr>
          <w:p>
            <w:r/>
            <w:r>
              <w:rPr>
                <w:rFonts w:ascii="Calibri" w:hAnsi="Calibri"/>
                <w:color w:val="333333"/>
                <w:sz w:val="19"/>
              </w:rPr>
              <w:t>Remington Splettstoesser</w:t>
            </w:r>
          </w:p>
        </w:tc>
      </w:tr>
      <w:tr>
        <w:tc>
          <w:tcPr>
            <w:tcW w:type="dxa" w:w="4703"/>
          </w:tcPr>
          <w:p>
            <w:r/>
            <w:r>
              <w:rPr>
                <w:rFonts w:ascii="Calibri" w:hAnsi="Calibri"/>
                <w:b/>
                <w:color w:val="333333"/>
                <w:sz w:val="19"/>
              </w:rPr>
              <w:t>Classification</w:t>
            </w:r>
          </w:p>
        </w:tc>
        <w:tc>
          <w:tcPr>
            <w:tcW w:type="dxa" w:w="4703"/>
          </w:tcPr>
          <w:p>
            <w:r/>
            <w:r>
              <w:rPr>
                <w:rFonts w:ascii="Calibri" w:hAnsi="Calibri"/>
                <w:color w:val="333333"/>
                <w:sz w:val="19"/>
              </w:rPr>
              <w:t>Internal — Template</w:t>
            </w:r>
          </w:p>
        </w:tc>
      </w:tr>
      <w:tr>
        <w:tc>
          <w:tcPr>
            <w:tcW w:type="dxa" w:w="4703"/>
            <w:shd w:fill="F5F5F8" w:val="clear"/>
          </w:tcPr>
          <w:p>
            <w:r/>
            <w:r>
              <w:rPr>
                <w:rFonts w:ascii="Calibri" w:hAnsi="Calibri"/>
                <w:b/>
                <w:color w:val="333333"/>
                <w:sz w:val="19"/>
              </w:rPr>
              <w:t>Status</w:t>
            </w:r>
          </w:p>
        </w:tc>
        <w:tc>
          <w:tcPr>
            <w:tcW w:type="dxa" w:w="4703"/>
            <w:shd w:fill="F5F5F8" w:val="clear"/>
          </w:tcPr>
          <w:p>
            <w:r/>
            <w:r>
              <w:rPr>
                <w:rFonts w:ascii="Calibri" w:hAnsi="Calibri"/>
                <w:color w:val="333333"/>
                <w:sz w:val="19"/>
              </w:rPr>
              <w:t>ENTWURF — anwaltliche Prüfung vor Einsatz erforderlich</w:t>
            </w:r>
          </w:p>
        </w:tc>
      </w:tr>
      <w:tr>
        <w:tc>
          <w:tcPr>
            <w:tcW w:type="dxa" w:w="4703"/>
          </w:tcPr>
          <w:p>
            <w:r/>
            <w:r>
              <w:rPr>
                <w:rFonts w:ascii="Calibri" w:hAnsi="Calibri"/>
                <w:b/>
                <w:color w:val="333333"/>
                <w:sz w:val="19"/>
              </w:rPr>
              <w:t>Rechtsgrundlage</w:t>
            </w:r>
          </w:p>
        </w:tc>
        <w:tc>
          <w:tcPr>
            <w:tcW w:type="dxa" w:w="4703"/>
          </w:tcPr>
          <w:p>
            <w:r/>
            <w:r>
              <w:rPr>
                <w:rFonts w:ascii="Calibri" w:hAnsi="Calibri"/>
                <w:color w:val="333333"/>
                <w:sz w:val="19"/>
              </w:rPr>
              <w:t>§ 652 BGB (Vermittlungsmaklervertrag), NICHT § 84 HGB (Handelsvertreter)</w:t>
            </w:r>
          </w:p>
        </w:tc>
      </w:tr>
      <w:tr>
        <w:tc>
          <w:tcPr>
            <w:tcW w:type="dxa" w:w="4703"/>
            <w:shd w:fill="F5F5F8" w:val="clear"/>
          </w:tcPr>
          <w:p>
            <w:r/>
            <w:r>
              <w:rPr>
                <w:rFonts w:ascii="Calibri" w:hAnsi="Calibri"/>
                <w:b/>
                <w:color w:val="333333"/>
                <w:sz w:val="19"/>
              </w:rPr>
              <w:t>Format</w:t>
            </w:r>
          </w:p>
        </w:tc>
        <w:tc>
          <w:tcPr>
            <w:tcW w:type="dxa" w:w="4703"/>
            <w:shd w:fill="F5F5F8" w:val="clear"/>
          </w:tcPr>
          <w:p>
            <w:r/>
            <w:r>
              <w:rPr>
                <w:rFonts w:ascii="Calibri" w:hAnsi="Calibri"/>
                <w:color w:val="333333"/>
                <w:sz w:val="19"/>
              </w:rPr>
              <w:t>Copy below the line, fill in the blanks, send as PDF or email</w:t>
            </w:r>
          </w:p>
        </w:tc>
      </w:tr>
    </w:tbl>
    <w:p/>
    <w:p>
      <w:pPr>
        <w:spacing w:before="120" w:after="120"/>
        <w:ind w:left="567"/>
      </w:pPr>
      <w:r>
        <w:rPr>
          <w:rFonts w:ascii="Calibri" w:hAnsi="Calibri"/>
          <w:b/>
          <w:i/>
          <w:color w:val="555555"/>
          <w:sz w:val="20"/>
        </w:rPr>
        <w:t>⚠ ACHTUNG:</w:t>
      </w:r>
      <w:r>
        <w:rPr>
          <w:rFonts w:ascii="Calibri" w:hAnsi="Calibri"/>
          <w:i/>
          <w:color w:val="555555"/>
          <w:sz w:val="20"/>
        </w:rPr>
        <w:t xml:space="preserve"> Dieser Entwurf wurde am 25.03.2026 auf Basis anwaltlichen Feedbacks überarbeitet. Die Kernprobleme (Vermischung Nachweismakler/Vermittlungsmakler, problematische Doppelvermittlungsklausel) wurden adressiert. </w:t>
      </w:r>
      <w:r>
        <w:rPr>
          <w:rFonts w:ascii="Calibri" w:hAnsi="Calibri"/>
          <w:b/>
          <w:i/>
          <w:color w:val="555555"/>
          <w:sz w:val="20"/>
        </w:rPr>
        <w:t>Vor erstmaliger Verwendung muss dieser Vertrag anwaltlich geprüft und finalisiert werden.</w:t>
      </w:r>
      <w:r>
        <w:rPr>
          <w:rFonts w:ascii="Calibri" w:hAnsi="Calibri"/>
          <w:i/>
          <w:color w:val="555555"/>
          <w:sz w:val="20"/>
        </w:rPr>
        <w:t xml:space="preserve"> Geschätzter Aufwand laut Rechtsberatung: 5–8 Stunden (Zeithonorar empfohlen, nicht Gegenstandswert). Die Gründungswerft ist als nächster Schritt vorgesehen.</w:t>
      </w:r>
    </w:p>
    <w:p>
      <w:pPr>
        <w:spacing w:before="120" w:after="120"/>
        <w:jc w:val="center"/>
      </w:pPr>
      <w:r>
        <w:rPr>
          <w:color w:val="CCCCCC"/>
          <w:sz w:val="12"/>
        </w:rPr>
        <w:t>────────────────────────────────────────────────────────────</w:t>
      </w:r>
    </w:p>
    <w:p>
      <w:pPr>
        <w:pStyle w:val="Heading2"/>
      </w:pPr>
      <w:r>
        <w:t>Nutzungshinweise</w:t>
      </w:r>
    </w:p>
    <w:p>
      <w:pPr>
        <w:pStyle w:val="ListBullet"/>
      </w:pPr>
      <w:r>
        <w:rPr>
          <w:rFonts w:ascii="Calibri" w:hAnsi="Calibri"/>
          <w:color w:val="333333"/>
          <w:sz w:val="21"/>
        </w:rPr>
        <w:t xml:space="preserve">Alles unterhalb von </w:t>
      </w:r>
      <w:r>
        <w:rPr>
          <w:rFonts w:ascii="Calibri" w:hAnsi="Calibri"/>
          <w:b/>
          <w:color w:val="333333"/>
          <w:sz w:val="21"/>
        </w:rPr>
        <w:t>--- VEREINBARUNG BEGINN ---</w:t>
      </w:r>
      <w:r>
        <w:rPr>
          <w:rFonts w:ascii="Calibri" w:hAnsi="Calibri"/>
          <w:color w:val="333333"/>
          <w:sz w:val="21"/>
        </w:rPr>
        <w:t xml:space="preserve"> ist die Vorlage.</w:t>
      </w:r>
    </w:p>
    <w:p>
      <w:pPr>
        <w:pStyle w:val="ListBullet"/>
      </w:pPr>
      <w:r>
        <w:rPr>
          <w:rFonts w:ascii="Calibri" w:hAnsi="Calibri"/>
          <w:color w:val="333333"/>
          <w:sz w:val="21"/>
        </w:rPr>
        <w:t>Felder in `[ECKIGEN KLAMMERN]` ausfüllen.</w:t>
      </w:r>
    </w:p>
    <w:p>
      <w:pPr>
        <w:pStyle w:val="ListBullet"/>
      </w:pPr>
      <w:r>
        <w:rPr>
          <w:rFonts w:ascii="Calibri" w:hAnsi="Calibri"/>
          <w:b/>
          <w:color w:val="333333"/>
          <w:sz w:val="21"/>
        </w:rPr>
        <w:t>Variante A</w:t>
      </w:r>
      <w:r>
        <w:rPr>
          <w:rFonts w:ascii="Calibri" w:hAnsi="Calibri"/>
          <w:color w:val="333333"/>
          <w:sz w:val="21"/>
        </w:rPr>
        <w:t xml:space="preserve"> (Privatperson) oder </w:t>
      </w:r>
      <w:r>
        <w:rPr>
          <w:rFonts w:ascii="Calibri" w:hAnsi="Calibri"/>
          <w:b/>
          <w:color w:val="333333"/>
          <w:sz w:val="21"/>
        </w:rPr>
        <w:t>Variante B</w:t>
      </w:r>
      <w:r>
        <w:rPr>
          <w:rFonts w:ascii="Calibri" w:hAnsi="Calibri"/>
          <w:color w:val="333333"/>
          <w:sz w:val="21"/>
        </w:rPr>
        <w:t xml:space="preserve"> (Gewerbetreibender) in § 4 wählen, die andere streichen.</w:t>
      </w:r>
    </w:p>
    <w:p>
      <w:pPr>
        <w:pStyle w:val="ListBullet"/>
      </w:pPr>
      <w:r>
        <w:rPr>
          <w:rFonts w:ascii="Calibri" w:hAnsi="Calibri"/>
          <w:color w:val="333333"/>
          <w:sz w:val="21"/>
        </w:rPr>
        <w:t>Als PDF exportieren oder per E-Mail senden.</w:t>
      </w:r>
    </w:p>
    <w:p>
      <w:pPr>
        <w:pStyle w:val="ListBullet"/>
      </w:pPr>
      <w:r>
        <w:rPr>
          <w:rFonts w:ascii="Calibri" w:hAnsi="Calibri"/>
          <w:color w:val="333333"/>
          <w:sz w:val="21"/>
        </w:rPr>
        <w:t>Unterschrift digital (DocuSign, handschriftlich gescannt, oder einfache E-Mail-Bestätigung).</w:t>
      </w:r>
    </w:p>
    <w:p>
      <w:pPr>
        <w:pStyle w:val="ListBullet"/>
      </w:pPr>
      <w:r>
        <w:rPr>
          <w:rFonts w:ascii="Calibri" w:hAnsi="Calibri"/>
          <w:color w:val="333333"/>
          <w:sz w:val="21"/>
        </w:rPr>
        <w:t>Bei rein informellen Partnern reicht eine WhatsApp-Bestätigung (siehe `07_REFERRAL_COMMISSION.md`).</w:t>
      </w:r>
    </w:p>
    <w:p>
      <w:pPr>
        <w:pStyle w:val="Heading2"/>
      </w:pPr>
      <w:r>
        <w:t>Rechtliche Einordnung (intern — nicht Teil der Vereinbarung)</w:t>
      </w:r>
    </w:p>
    <w:p>
      <w:pPr>
        <w:pStyle w:val="Heading3"/>
      </w:pPr>
      <w:r>
        <w:t>Nachweismakler vs. Vermittlungsmakler — die entscheidende Unterscheidung</w:t>
      </w:r>
    </w:p>
    <w:p>
      <w:pPr>
        <w:spacing w:before="120" w:after="120"/>
        <w:ind w:left="567"/>
      </w:pPr>
      <w:r>
        <w:rPr>
          <w:rFonts w:ascii="Calibri" w:hAnsi="Calibri"/>
          <w:b/>
          <w:i/>
          <w:color w:val="555555"/>
          <w:sz w:val="20"/>
        </w:rPr>
        <w:t>Anwaltliches Feedback (25.03.2026):</w:t>
      </w:r>
      <w:r>
        <w:rPr>
          <w:rFonts w:ascii="Calibri" w:hAnsi="Calibri"/>
          <w:i/>
          <w:color w:val="555555"/>
          <w:sz w:val="20"/>
        </w:rPr>
        <w:t xml:space="preserve"> Die ursprüngliche Fassung hat Nachweismakler und Vermittlungsmakler vermischt. Das ist ein erhebliches Risiko. Unsere Partner sind </w:t>
      </w:r>
      <w:r>
        <w:rPr>
          <w:rFonts w:ascii="Calibri" w:hAnsi="Calibri"/>
          <w:b/>
          <w:i/>
          <w:color w:val="555555"/>
          <w:sz w:val="20"/>
        </w:rPr>
        <w:t>Vermittlungsmakler</w:t>
      </w:r>
      <w:r>
        <w:rPr>
          <w:rFonts w:ascii="Calibri" w:hAnsi="Calibri"/>
          <w:i/>
          <w:color w:val="555555"/>
          <w:sz w:val="20"/>
        </w:rPr>
        <w:t>, nicht Nachweismakler. Der Vertrag muss das sauber abbilden.</w:t>
      </w:r>
    </w:p>
    <w:p>
      <w:r>
        <w:rPr>
          <w:rFonts w:ascii="Calibri" w:hAnsi="Calibri"/>
          <w:color w:val="333333"/>
          <w:sz w:val="21"/>
        </w:rPr>
        <w:t>§ 652 BGB kennt zwei Typen von Maklern: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44" w:val="clear"/>
          </w:tcPr>
          <w:p>
            <w:pPr>
              <w:jc w:val="left"/>
            </w:pPr>
            <w:r/>
            <w:r>
              <w:rPr>
                <w:rFonts w:ascii="Calibri" w:hAnsi="Calibri"/>
                <w:b/>
                <w:color w:val="FFFFFF"/>
                <w:sz w:val="19"/>
              </w:rPr>
            </w:r>
          </w:p>
        </w:tc>
        <w:tc>
          <w:tcPr>
            <w:tcW w:type="dxa" w:w="3135"/>
            <w:shd w:fill="2d2d44" w:val="clear"/>
          </w:tcPr>
          <w:p>
            <w:pPr>
              <w:jc w:val="left"/>
            </w:pPr>
            <w:r/>
            <w:r>
              <w:rPr>
                <w:rFonts w:ascii="Calibri" w:hAnsi="Calibri"/>
                <w:b/>
                <w:color w:val="FFFFFF"/>
                <w:sz w:val="19"/>
              </w:rPr>
              <w:t>**Nachweismakler**</w:t>
            </w:r>
          </w:p>
        </w:tc>
        <w:tc>
          <w:tcPr>
            <w:tcW w:type="dxa" w:w="3135"/>
            <w:shd w:fill="2d2d44" w:val="clear"/>
          </w:tcPr>
          <w:p>
            <w:pPr>
              <w:jc w:val="left"/>
            </w:pPr>
            <w:r/>
            <w:r>
              <w:rPr>
                <w:rFonts w:ascii="Calibri" w:hAnsi="Calibri"/>
                <w:b/>
                <w:color w:val="FFFFFF"/>
                <w:sz w:val="19"/>
              </w:rPr>
              <w:t>**Vermittlungsmakler** (unser Fall)</w:t>
            </w:r>
          </w:p>
        </w:tc>
      </w:tr>
      <w:tr>
        <w:tc>
          <w:tcPr>
            <w:tcW w:type="dxa" w:w="3135"/>
          </w:tcPr>
          <w:p>
            <w:r/>
            <w:r>
              <w:rPr>
                <w:rFonts w:ascii="Calibri" w:hAnsi="Calibri"/>
                <w:b/>
                <w:color w:val="333333"/>
                <w:sz w:val="19"/>
              </w:rPr>
              <w:t>Leistung</w:t>
            </w:r>
          </w:p>
        </w:tc>
        <w:tc>
          <w:tcPr>
            <w:tcW w:type="dxa" w:w="3135"/>
          </w:tcPr>
          <w:p>
            <w:r/>
            <w:r>
              <w:rPr>
                <w:rFonts w:ascii="Calibri" w:hAnsi="Calibri"/>
                <w:color w:val="333333"/>
                <w:sz w:val="19"/>
              </w:rPr>
              <w:t>Nennt nur einen Namen / eine Adresse</w:t>
            </w:r>
          </w:p>
        </w:tc>
        <w:tc>
          <w:tcPr>
            <w:tcW w:type="dxa" w:w="3135"/>
          </w:tcPr>
          <w:p>
            <w:r/>
            <w:r>
              <w:rPr>
                <w:rFonts w:ascii="Calibri" w:hAnsi="Calibri"/>
                <w:color w:val="333333"/>
                <w:sz w:val="19"/>
              </w:rPr>
              <w:t>Stellt aktiv den Kontakt her, führt ggf. Gespräche ein</w:t>
            </w:r>
          </w:p>
        </w:tc>
      </w:tr>
      <w:tr>
        <w:tc>
          <w:tcPr>
            <w:tcW w:type="dxa" w:w="3135"/>
            <w:shd w:fill="F5F5F8" w:val="clear"/>
          </w:tcPr>
          <w:p>
            <w:r/>
            <w:r>
              <w:rPr>
                <w:rFonts w:ascii="Calibri" w:hAnsi="Calibri"/>
                <w:b/>
                <w:color w:val="333333"/>
                <w:sz w:val="19"/>
              </w:rPr>
              <w:t>Provisionsanspruch</w:t>
            </w:r>
          </w:p>
        </w:tc>
        <w:tc>
          <w:tcPr>
            <w:tcW w:type="dxa" w:w="3135"/>
            <w:shd w:fill="F5F5F8" w:val="clear"/>
          </w:tcPr>
          <w:p>
            <w:r/>
            <w:r>
              <w:rPr>
                <w:rFonts w:ascii="Calibri" w:hAnsi="Calibri"/>
                <w:color w:val="333333"/>
                <w:sz w:val="19"/>
              </w:rPr>
              <w:t>Entsteht schon durch bloßen Namensnachweis</w:t>
            </w:r>
          </w:p>
        </w:tc>
        <w:tc>
          <w:tcPr>
            <w:tcW w:type="dxa" w:w="3135"/>
            <w:shd w:fill="F5F5F8" w:val="clear"/>
          </w:tcPr>
          <w:p>
            <w:r/>
            <w:r>
              <w:rPr>
                <w:rFonts w:ascii="Calibri" w:hAnsi="Calibri"/>
                <w:color w:val="333333"/>
                <w:sz w:val="19"/>
              </w:rPr>
              <w:t>Entsteht erst durch aktive Vermittlungstätigkeit</w:t>
            </w:r>
          </w:p>
        </w:tc>
      </w:tr>
      <w:tr>
        <w:tc>
          <w:tcPr>
            <w:tcW w:type="dxa" w:w="3135"/>
          </w:tcPr>
          <w:p>
            <w:r/>
            <w:r>
              <w:rPr>
                <w:rFonts w:ascii="Calibri" w:hAnsi="Calibri"/>
                <w:b/>
                <w:color w:val="333333"/>
                <w:sz w:val="19"/>
              </w:rPr>
              <w:t>Risiko für uns</w:t>
            </w:r>
          </w:p>
        </w:tc>
        <w:tc>
          <w:tcPr>
            <w:tcW w:type="dxa" w:w="3135"/>
          </w:tcPr>
          <w:p>
            <w:r/>
            <w:r>
              <w:rPr>
                <w:rFonts w:ascii="Calibri" w:hAnsi="Calibri"/>
                <w:color w:val="333333"/>
                <w:sz w:val="19"/>
              </w:rPr>
              <w:t>Jemand sagt „ich habe dir den Namen genannt" → Provision fällig, auch wenn wir den Kontakt schon kannten</w:t>
            </w:r>
          </w:p>
        </w:tc>
        <w:tc>
          <w:tcPr>
            <w:tcW w:type="dxa" w:w="3135"/>
          </w:tcPr>
          <w:p>
            <w:r/>
            <w:r>
              <w:rPr>
                <w:rFonts w:ascii="Calibri" w:hAnsi="Calibri"/>
                <w:color w:val="333333"/>
                <w:sz w:val="19"/>
              </w:rPr>
              <w:t>Gering — der Vermittler muss nachweisbar mehr geleistet haben</w:t>
            </w:r>
          </w:p>
        </w:tc>
      </w:tr>
      <w:tr>
        <w:tc>
          <w:tcPr>
            <w:tcW w:type="dxa" w:w="3135"/>
            <w:shd w:fill="F5F5F8" w:val="clear"/>
          </w:tcPr>
          <w:p>
            <w:r/>
            <w:r>
              <w:rPr>
                <w:rFonts w:ascii="Calibri" w:hAnsi="Calibri"/>
                <w:b/>
                <w:color w:val="333333"/>
                <w:sz w:val="19"/>
              </w:rPr>
              <w:t>Aufwand des Maklers</w:t>
            </w:r>
          </w:p>
        </w:tc>
        <w:tc>
          <w:tcPr>
            <w:tcW w:type="dxa" w:w="3135"/>
            <w:shd w:fill="F5F5F8" w:val="clear"/>
          </w:tcPr>
          <w:p>
            <w:r/>
            <w:r>
              <w:rPr>
                <w:rFonts w:ascii="Calibri" w:hAnsi="Calibri"/>
                <w:color w:val="333333"/>
                <w:sz w:val="19"/>
              </w:rPr>
              <w:t>Minimal</w:t>
            </w:r>
          </w:p>
        </w:tc>
        <w:tc>
          <w:tcPr>
            <w:tcW w:type="dxa" w:w="3135"/>
            <w:shd w:fill="F5F5F8" w:val="clear"/>
          </w:tcPr>
          <w:p>
            <w:r/>
            <w:r>
              <w:rPr>
                <w:rFonts w:ascii="Calibri" w:hAnsi="Calibri"/>
                <w:color w:val="333333"/>
                <w:sz w:val="19"/>
              </w:rPr>
              <w:t>Substantiell — Kontaktherstellung, Einleitung, ggf. Begleitung</w:t>
            </w:r>
          </w:p>
        </w:tc>
      </w:tr>
    </w:tbl>
    <w:p/>
    <w:p>
      <w:r>
        <w:rPr>
          <w:rFonts w:ascii="Calibri" w:hAnsi="Calibri"/>
          <w:b/>
          <w:color w:val="333333"/>
          <w:sz w:val="21"/>
        </w:rPr>
        <w:t>Konsequenz:</w:t>
      </w:r>
      <w:r>
        <w:rPr>
          <w:rFonts w:ascii="Calibri" w:hAnsi="Calibri"/>
          <w:color w:val="333333"/>
          <w:sz w:val="21"/>
        </w:rPr>
        <w:t xml:space="preserve"> Der Vertrag definiert ausschließlich </w:t>
      </w:r>
      <w:r>
        <w:rPr>
          <w:rFonts w:ascii="Calibri" w:hAnsi="Calibri"/>
          <w:b/>
          <w:color w:val="333333"/>
          <w:sz w:val="21"/>
        </w:rPr>
        <w:t>Vermittlungsleistungen</w:t>
      </w:r>
      <w:r>
        <w:rPr>
          <w:rFonts w:ascii="Calibri" w:hAnsi="Calibri"/>
          <w:color w:val="333333"/>
          <w:sz w:val="21"/>
        </w:rPr>
        <w:t xml:space="preserve"> (aktive Kontaktherstellung). Das bloße Nennen eines Namens reicht nicht aus. Das schützt uns davor, dass jemand nur einen Namen zuruft und dann Provision verlangt.</w:t>
      </w:r>
    </w:p>
    <w:p>
      <w:pPr>
        <w:pStyle w:val="Heading3"/>
      </w:pPr>
      <w:r>
        <w:t>Warum § 652 BGB (Maklervertrag) und nicht § 84 HGB (Handelsvertreter)</w:t>
      </w:r>
    </w:p>
    <w:p>
      <w:r>
        <w:rPr>
          <w:rFonts w:ascii="Calibri" w:hAnsi="Calibri"/>
          <w:color w:val="333333"/>
          <w:sz w:val="21"/>
        </w:rPr>
        <w:t xml:space="preserve">Die Abgrenzung ist entscheidend. Ein Handelsvertreter (§ 84 HGB) ist </w:t>
      </w:r>
      <w:r>
        <w:rPr>
          <w:rFonts w:ascii="Calibri" w:hAnsi="Calibri"/>
          <w:b/>
          <w:color w:val="333333"/>
          <w:sz w:val="21"/>
        </w:rPr>
        <w:t>ständig betraut</w:t>
      </w:r>
      <w:r>
        <w:rPr>
          <w:rFonts w:ascii="Calibri" w:hAnsi="Calibri"/>
          <w:color w:val="333333"/>
          <w:sz w:val="21"/>
        </w:rPr>
        <w:t xml:space="preserve">, Geschäfte zu vermitteln oder abzuschließen. Das löst umfangreiche Schutzrechte aus — insbesondere den </w:t>
      </w:r>
      <w:r>
        <w:rPr>
          <w:rFonts w:ascii="Calibri" w:hAnsi="Calibri"/>
          <w:b/>
          <w:color w:val="333333"/>
          <w:sz w:val="21"/>
        </w:rPr>
        <w:t>Ausgleichsanspruch nach § 89b HGB</w:t>
      </w:r>
      <w:r>
        <w:rPr>
          <w:rFonts w:ascii="Calibri" w:hAnsi="Calibri"/>
          <w:color w:val="333333"/>
          <w:sz w:val="21"/>
        </w:rPr>
        <w:t>, der bei Vertragsende eine Abfindung von bis zu einer Jahresprovision vorsieht.</w:t>
      </w:r>
    </w:p>
    <w:p>
      <w:r>
        <w:rPr>
          <w:rFonts w:ascii="Calibri" w:hAnsi="Calibri"/>
          <w:color w:val="333333"/>
          <w:sz w:val="21"/>
        </w:rPr>
        <w:t>Ein Vermittler nach § 652 BGB (Makler) ist dagegen:</w:t>
      </w:r>
    </w:p>
    <w:p>
      <w:pPr>
        <w:pStyle w:val="ListBullet"/>
      </w:pPr>
      <w:r>
        <w:rPr>
          <w:rFonts w:ascii="Calibri" w:hAnsi="Calibri"/>
          <w:b/>
          <w:color w:val="333333"/>
          <w:sz w:val="21"/>
        </w:rPr>
        <w:t>nicht ständig betraut</w:t>
      </w:r>
      <w:r>
        <w:rPr>
          <w:rFonts w:ascii="Calibri" w:hAnsi="Calibri"/>
          <w:color w:val="333333"/>
          <w:sz w:val="21"/>
        </w:rPr>
        <w:t xml:space="preserve"> — er vermittelt gelegentlich, wenn sich Gelegenheiten ergeben</w:t>
      </w:r>
    </w:p>
    <w:p>
      <w:pPr>
        <w:pStyle w:val="ListBullet"/>
      </w:pPr>
      <w:r>
        <w:rPr>
          <w:rFonts w:ascii="Calibri" w:hAnsi="Calibri"/>
          <w:b/>
          <w:color w:val="333333"/>
          <w:sz w:val="21"/>
        </w:rPr>
        <w:t>nicht weisungsgebunden</w:t>
      </w:r>
      <w:r>
        <w:rPr>
          <w:rFonts w:ascii="Calibri" w:hAnsi="Calibri"/>
          <w:color w:val="333333"/>
          <w:sz w:val="21"/>
        </w:rPr>
        <w:t xml:space="preserve"> — keine Berichtspflichten, keine Gebiets- oder Kundenbindung</w:t>
      </w:r>
    </w:p>
    <w:p>
      <w:pPr>
        <w:pStyle w:val="ListBullet"/>
      </w:pPr>
      <w:r>
        <w:rPr>
          <w:rFonts w:ascii="Calibri" w:hAnsi="Calibri"/>
          <w:b/>
          <w:color w:val="333333"/>
          <w:sz w:val="21"/>
        </w:rPr>
        <w:t>erfolgsabhängig vergütet</w:t>
      </w:r>
      <w:r>
        <w:rPr>
          <w:rFonts w:ascii="Calibri" w:hAnsi="Calibri"/>
          <w:color w:val="333333"/>
          <w:sz w:val="21"/>
        </w:rPr>
        <w:t xml:space="preserve"> — kein Anspruch auf Provision ohne Vertragsabschluss</w:t>
      </w:r>
    </w:p>
    <w:p>
      <w:pPr>
        <w:pStyle w:val="ListBullet"/>
      </w:pPr>
      <w:r>
        <w:rPr>
          <w:rFonts w:ascii="Calibri" w:hAnsi="Calibri"/>
          <w:b/>
          <w:color w:val="333333"/>
          <w:sz w:val="21"/>
        </w:rPr>
        <w:t>ohne Ausgleichsanspruch</w:t>
      </w:r>
      <w:r>
        <w:rPr>
          <w:rFonts w:ascii="Calibri" w:hAnsi="Calibri"/>
          <w:color w:val="333333"/>
          <w:sz w:val="21"/>
        </w:rPr>
        <w:t xml:space="preserve"> — bei Beendigung keine Abfindungspflicht</w:t>
      </w:r>
    </w:p>
    <w:p>
      <w:r>
        <w:rPr>
          <w:rFonts w:ascii="Calibri" w:hAnsi="Calibri"/>
          <w:b/>
          <w:color w:val="333333"/>
          <w:sz w:val="21"/>
        </w:rPr>
        <w:t>Wichtig (anwaltliches Feedback):</w:t>
      </w:r>
      <w:r>
        <w:rPr>
          <w:rFonts w:ascii="Calibri" w:hAnsi="Calibri"/>
          <w:color w:val="333333"/>
          <w:sz w:val="21"/>
        </w:rPr>
        <w:t xml:space="preserve"> Es reicht nicht, in der Überschrift zu schreiben „kein Handelsvertretervertrag". Wenn der Vertragsinhalt dennoch typische Handelsvertreter-Elemente enthält, kann die Rechtsprechung trotzdem die §§ 84 ff. HGB anwenden (Substanz vor Form). Deshalb muss der gesamte Vertrag als sauberer Vermittlungsmaklervertrag aufgebaut sein — mit den Abgrenzungsklauseln am Ende, nicht als Kern des Vertrags.</w:t>
      </w:r>
    </w:p>
    <w:p>
      <w:r>
        <w:rPr>
          <w:rFonts w:ascii="Calibri" w:hAnsi="Calibri"/>
          <w:color w:val="333333"/>
          <w:sz w:val="21"/>
        </w:rPr>
        <w:t>Unsere Vertriebspartner sind Makler, keine Handelsvertreter. Die Vereinbarung muss das unmissverständlich klarstellen. Quellen:</w:t>
      </w:r>
    </w:p>
    <w:p>
      <w:pPr>
        <w:pStyle w:val="ListBullet"/>
      </w:pPr>
      <w:r>
        <w:rPr>
          <w:rFonts w:ascii="Calibri" w:hAnsi="Calibri"/>
          <w:color w:val="333333"/>
          <w:sz w:val="21"/>
        </w:rPr>
        <w:t>[Abgrenzung Makler vs. Handelsvertreter — handelsvertreter-rechtsanwalt.de](https://www.handelsvertreter-rechtsanwalt.de/unterscheidung-abgrenzung/makler/)</w:t>
      </w:r>
    </w:p>
    <w:p>
      <w:pPr>
        <w:pStyle w:val="ListBullet"/>
      </w:pPr>
      <w:r>
        <w:rPr>
          <w:rFonts w:ascii="Calibri" w:hAnsi="Calibri"/>
          <w:color w:val="333333"/>
          <w:sz w:val="21"/>
        </w:rPr>
        <w:t>[Abgrenzung Handelsvertreter vom Gelegenheitsvermittler — CDH](https://cdh.de/urteil/abgrenzung-handelsvertreter-vom-gelegenheitsvermittler/)</w:t>
      </w:r>
    </w:p>
    <w:p>
      <w:pPr>
        <w:pStyle w:val="ListBullet"/>
      </w:pPr>
      <w:r>
        <w:rPr>
          <w:rFonts w:ascii="Calibri" w:hAnsi="Calibri"/>
          <w:color w:val="333333"/>
          <w:sz w:val="21"/>
        </w:rPr>
        <w:t>[§ 652 BGB — dejure.org](https://dejure.org/gesetze/BGB/652.html)</w:t>
      </w:r>
    </w:p>
    <w:p>
      <w:pPr>
        <w:pStyle w:val="Heading3"/>
      </w:pPr>
      <w:r>
        <w:t>Steuerliche Behandlung der Provision</w:t>
      </w:r>
    </w:p>
    <w:p>
      <w:r>
        <w:rPr>
          <w:rFonts w:ascii="Calibri" w:hAnsi="Calibri"/>
          <w:b/>
          <w:color w:val="333333"/>
          <w:sz w:val="21"/>
        </w:rPr>
        <w:t>Variante A — Privatperson (kein Gewerbe):</w:t>
      </w:r>
    </w:p>
    <w:p>
      <w:r>
        <w:rPr>
          <w:rFonts w:ascii="Calibri" w:hAnsi="Calibri"/>
          <w:color w:val="333333"/>
          <w:sz w:val="21"/>
        </w:rPr>
        <w:t xml:space="preserve">Die Provision fällt unter </w:t>
      </w:r>
      <w:r>
        <w:rPr>
          <w:rFonts w:ascii="Calibri" w:hAnsi="Calibri"/>
          <w:b/>
          <w:color w:val="333333"/>
          <w:sz w:val="21"/>
        </w:rPr>
        <w:t>§ 22 Nr. 3 EStG</w:t>
      </w:r>
      <w:r>
        <w:rPr>
          <w:rFonts w:ascii="Calibri" w:hAnsi="Calibri"/>
          <w:color w:val="333333"/>
          <w:sz w:val="21"/>
        </w:rPr>
        <w:t xml:space="preserve"> („Einkünfte aus sonstigen Leistungen"). Die Privatperson ist nicht umsatzsteuerpflichtig für gelegentliche Vermittlungstätigkeiten.</w:t>
      </w:r>
    </w:p>
    <w:tbl>
      <w:tblPr>
        <w:tblStyle w:val="TableGrid"/>
        <w:tblW w:type="auto" w:w="0"/>
        <w:jc w:val="left"/>
        <w:tblLook w:firstColumn="1" w:firstRow="1" w:lastColumn="0" w:lastRow="0" w:noHBand="0" w:noVBand="1" w:val="04A0"/>
      </w:tblPr>
      <w:tblGrid>
        <w:gridCol w:w="4703"/>
        <w:gridCol w:w="4703"/>
      </w:tblGrid>
      <w:tr>
        <w:tc>
          <w:tcPr>
            <w:tcW w:type="dxa" w:w="4703"/>
            <w:shd w:fill="2d2d44" w:val="clear"/>
          </w:tcPr>
          <w:p>
            <w:pPr>
              <w:jc w:val="left"/>
            </w:pPr>
            <w:r/>
            <w:r>
              <w:rPr>
                <w:rFonts w:ascii="Calibri" w:hAnsi="Calibri"/>
                <w:b/>
                <w:color w:val="FFFFFF"/>
                <w:sz w:val="19"/>
              </w:rPr>
              <w:t>Aspekt</w:t>
            </w:r>
          </w:p>
        </w:tc>
        <w:tc>
          <w:tcPr>
            <w:tcW w:type="dxa" w:w="4703"/>
            <w:shd w:fill="2d2d44" w:val="clear"/>
          </w:tcPr>
          <w:p>
            <w:pPr>
              <w:jc w:val="left"/>
            </w:pPr>
            <w:r/>
            <w:r>
              <w:rPr>
                <w:rFonts w:ascii="Calibri" w:hAnsi="Calibri"/>
                <w:b/>
                <w:color w:val="FFFFFF"/>
                <w:sz w:val="19"/>
              </w:rPr>
              <w:t>Behandlung</w:t>
            </w:r>
          </w:p>
        </w:tc>
      </w:tr>
      <w:tr>
        <w:tc>
          <w:tcPr>
            <w:tcW w:type="dxa" w:w="4703"/>
          </w:tcPr>
          <w:p>
            <w:r/>
            <w:r>
              <w:rPr>
                <w:rFonts w:ascii="Calibri" w:hAnsi="Calibri"/>
                <w:color w:val="333333"/>
                <w:sz w:val="19"/>
              </w:rPr>
              <w:t>Einkunftsart</w:t>
            </w:r>
          </w:p>
        </w:tc>
        <w:tc>
          <w:tcPr>
            <w:tcW w:type="dxa" w:w="4703"/>
          </w:tcPr>
          <w:p>
            <w:r/>
            <w:r>
              <w:rPr>
                <w:rFonts w:ascii="Calibri" w:hAnsi="Calibri"/>
                <w:color w:val="333333"/>
                <w:sz w:val="19"/>
              </w:rPr>
              <w:t>§ 22 Nr. 3 EStG — sonstige Einkünfte</w:t>
            </w:r>
          </w:p>
        </w:tc>
      </w:tr>
      <w:tr>
        <w:tc>
          <w:tcPr>
            <w:tcW w:type="dxa" w:w="4703"/>
            <w:shd w:fill="F5F5F8" w:val="clear"/>
          </w:tcPr>
          <w:p>
            <w:r/>
            <w:r>
              <w:rPr>
                <w:rFonts w:ascii="Calibri" w:hAnsi="Calibri"/>
                <w:color w:val="333333"/>
                <w:sz w:val="19"/>
              </w:rPr>
              <w:t>Freigrenze</w:t>
            </w:r>
          </w:p>
        </w:tc>
        <w:tc>
          <w:tcPr>
            <w:tcW w:type="dxa" w:w="4703"/>
            <w:shd w:fill="F5F5F8" w:val="clear"/>
          </w:tcPr>
          <w:p>
            <w:r/>
            <w:r>
              <w:rPr>
                <w:rFonts w:ascii="Calibri" w:hAnsi="Calibri"/>
                <w:color w:val="333333"/>
                <w:sz w:val="19"/>
              </w:rPr>
              <w:t xml:space="preserve">256 € pro Kalenderjahr (Freigrenze, nicht Freibetrag — bei Überschreitung ist der </w:t>
            </w:r>
            <w:r>
              <w:rPr>
                <w:rFonts w:ascii="Calibri" w:hAnsi="Calibri"/>
                <w:b/>
                <w:color w:val="333333"/>
                <w:sz w:val="19"/>
              </w:rPr>
              <w:t>gesamte</w:t>
            </w:r>
            <w:r>
              <w:rPr>
                <w:rFonts w:ascii="Calibri" w:hAnsi="Calibri"/>
                <w:color w:val="333333"/>
                <w:sz w:val="19"/>
              </w:rPr>
              <w:t xml:space="preserve"> Betrag steuerpflichtig)</w:t>
            </w:r>
          </w:p>
        </w:tc>
      </w:tr>
      <w:tr>
        <w:tc>
          <w:tcPr>
            <w:tcW w:type="dxa" w:w="4703"/>
          </w:tcPr>
          <w:p>
            <w:r/>
            <w:r>
              <w:rPr>
                <w:rFonts w:ascii="Calibri" w:hAnsi="Calibri"/>
                <w:color w:val="333333"/>
                <w:sz w:val="19"/>
              </w:rPr>
              <w:t>Umsatzsteuer</w:t>
            </w:r>
          </w:p>
        </w:tc>
        <w:tc>
          <w:tcPr>
            <w:tcW w:type="dxa" w:w="4703"/>
          </w:tcPr>
          <w:p>
            <w:r/>
            <w:r>
              <w:rPr>
                <w:rFonts w:ascii="Calibri" w:hAnsi="Calibri"/>
                <w:color w:val="333333"/>
                <w:sz w:val="19"/>
              </w:rPr>
              <w:t>Keine. Privatperson ist nicht USt-pflichtig für gelegentliche Vermittlung.</w:t>
            </w:r>
          </w:p>
        </w:tc>
      </w:tr>
      <w:tr>
        <w:tc>
          <w:tcPr>
            <w:tcW w:type="dxa" w:w="4703"/>
            <w:shd w:fill="F5F5F8" w:val="clear"/>
          </w:tcPr>
          <w:p>
            <w:r/>
            <w:r>
              <w:rPr>
                <w:rFonts w:ascii="Calibri" w:hAnsi="Calibri"/>
                <w:color w:val="333333"/>
                <w:sz w:val="19"/>
              </w:rPr>
              <w:t>Lohnsteuer / Sozialversicherung</w:t>
            </w:r>
          </w:p>
        </w:tc>
        <w:tc>
          <w:tcPr>
            <w:tcW w:type="dxa" w:w="4703"/>
            <w:shd w:fill="F5F5F8" w:val="clear"/>
          </w:tcPr>
          <w:p>
            <w:r/>
            <w:r>
              <w:rPr>
                <w:rFonts w:ascii="Calibri" w:hAnsi="Calibri"/>
                <w:color w:val="333333"/>
                <w:sz w:val="19"/>
              </w:rPr>
              <w:t>Keine. Es ist kein Arbeitsverhältnis. Keine Abführungspflicht durch sevenlayers.</w:t>
            </w:r>
          </w:p>
        </w:tc>
      </w:tr>
      <w:tr>
        <w:tc>
          <w:tcPr>
            <w:tcW w:type="dxa" w:w="4703"/>
          </w:tcPr>
          <w:p>
            <w:r/>
            <w:r>
              <w:rPr>
                <w:rFonts w:ascii="Calibri" w:hAnsi="Calibri"/>
                <w:color w:val="333333"/>
                <w:sz w:val="19"/>
              </w:rPr>
              <w:t>Auszahlung</w:t>
            </w:r>
          </w:p>
        </w:tc>
        <w:tc>
          <w:tcPr>
            <w:tcW w:type="dxa" w:w="4703"/>
          </w:tcPr>
          <w:p>
            <w:r/>
            <w:r>
              <w:rPr>
                <w:rFonts w:ascii="Calibri" w:hAnsi="Calibri"/>
                <w:color w:val="333333"/>
                <w:sz w:val="19"/>
              </w:rPr>
              <w:t>Bruttobetrag an den Vermittler. Keine Abzüge durch sevenlayers.</w:t>
            </w:r>
          </w:p>
        </w:tc>
      </w:tr>
      <w:tr>
        <w:tc>
          <w:tcPr>
            <w:tcW w:type="dxa" w:w="4703"/>
            <w:shd w:fill="F5F5F8" w:val="clear"/>
          </w:tcPr>
          <w:p>
            <w:r/>
            <w:r>
              <w:rPr>
                <w:rFonts w:ascii="Calibri" w:hAnsi="Calibri"/>
                <w:color w:val="333333"/>
                <w:sz w:val="19"/>
              </w:rPr>
              <w:t>Abrechnung</w:t>
            </w:r>
          </w:p>
        </w:tc>
        <w:tc>
          <w:tcPr>
            <w:tcW w:type="dxa" w:w="4703"/>
            <w:shd w:fill="F5F5F8" w:val="clear"/>
          </w:tcPr>
          <w:p>
            <w:r/>
            <w:r>
              <w:rPr>
                <w:rFonts w:ascii="Calibri" w:hAnsi="Calibri"/>
                <w:color w:val="333333"/>
                <w:sz w:val="19"/>
              </w:rPr>
              <w:t xml:space="preserve">sevenlayers erstellt eine </w:t>
            </w:r>
            <w:r>
              <w:rPr>
                <w:rFonts w:ascii="Calibri" w:hAnsi="Calibri"/>
                <w:b/>
                <w:color w:val="333333"/>
                <w:sz w:val="19"/>
              </w:rPr>
              <w:t>Provisionsabrechnung</w:t>
            </w:r>
            <w:r>
              <w:rPr>
                <w:rFonts w:ascii="Calibri" w:hAnsi="Calibri"/>
                <w:color w:val="333333"/>
                <w:sz w:val="19"/>
              </w:rPr>
              <w:t xml:space="preserve"> (kein Lohnzettel, keine Gutschrift im umsatzsteuerlichen Sinne).</w:t>
            </w:r>
          </w:p>
        </w:tc>
      </w:tr>
      <w:tr>
        <w:tc>
          <w:tcPr>
            <w:tcW w:type="dxa" w:w="4703"/>
          </w:tcPr>
          <w:p>
            <w:r/>
            <w:r>
              <w:rPr>
                <w:rFonts w:ascii="Calibri" w:hAnsi="Calibri"/>
                <w:color w:val="333333"/>
                <w:sz w:val="19"/>
              </w:rPr>
              <w:t>Nachweis für Finanzamt</w:t>
            </w:r>
          </w:p>
        </w:tc>
        <w:tc>
          <w:tcPr>
            <w:tcW w:type="dxa" w:w="4703"/>
          </w:tcPr>
          <w:p>
            <w:r/>
            <w:r>
              <w:rPr>
                <w:rFonts w:ascii="Calibri" w:hAnsi="Calibri"/>
                <w:color w:val="333333"/>
                <w:sz w:val="19"/>
              </w:rPr>
              <w:t>Provisionsabrechnung + Kontoauszug (Überweisung). Zusätzlich empfohlen: vom Vermittler unterzeichnete Empfangsbestätigung.</w:t>
            </w:r>
          </w:p>
        </w:tc>
      </w:tr>
      <w:tr>
        <w:tc>
          <w:tcPr>
            <w:tcW w:type="dxa" w:w="4703"/>
            <w:shd w:fill="F5F5F8" w:val="clear"/>
          </w:tcPr>
          <w:p>
            <w:r/>
            <w:r>
              <w:rPr>
                <w:rFonts w:ascii="Calibri" w:hAnsi="Calibri"/>
                <w:color w:val="333333"/>
                <w:sz w:val="19"/>
              </w:rPr>
              <w:t>Steuererklärung</w:t>
            </w:r>
          </w:p>
        </w:tc>
        <w:tc>
          <w:tcPr>
            <w:tcW w:type="dxa" w:w="4703"/>
            <w:shd w:fill="F5F5F8" w:val="clear"/>
          </w:tcPr>
          <w:p>
            <w:r/>
            <w:r>
              <w:rPr>
                <w:rFonts w:ascii="Calibri" w:hAnsi="Calibri"/>
                <w:color w:val="333333"/>
                <w:sz w:val="19"/>
              </w:rPr>
              <w:t xml:space="preserve">Der Vermittler erklärt die Einkünfte selbst in der </w:t>
            </w:r>
            <w:r>
              <w:rPr>
                <w:rFonts w:ascii="Calibri" w:hAnsi="Calibri"/>
                <w:b/>
                <w:color w:val="333333"/>
                <w:sz w:val="19"/>
              </w:rPr>
              <w:t>Anlage SO</w:t>
            </w:r>
            <w:r>
              <w:rPr>
                <w:rFonts w:ascii="Calibri" w:hAnsi="Calibri"/>
                <w:color w:val="333333"/>
                <w:sz w:val="19"/>
              </w:rPr>
              <w:t xml:space="preserve"> seiner Einkommensteuererklärung.</w:t>
            </w:r>
          </w:p>
        </w:tc>
      </w:tr>
    </w:tbl>
    <w:p/>
    <w:p>
      <w:r>
        <w:rPr>
          <w:rFonts w:ascii="Calibri" w:hAnsi="Calibri"/>
          <w:color w:val="333333"/>
          <w:sz w:val="21"/>
        </w:rPr>
        <w:t>Quellen:</w:t>
      </w:r>
    </w:p>
    <w:p>
      <w:pPr>
        <w:pStyle w:val="ListBullet"/>
      </w:pPr>
      <w:r>
        <w:rPr>
          <w:rFonts w:ascii="Calibri" w:hAnsi="Calibri"/>
          <w:color w:val="333333"/>
          <w:sz w:val="21"/>
        </w:rPr>
        <w:t>[§ 22 Nr. 3 EStG — smartsteuer.de](https://www.smartsteuer.de/online/lexikon/e/einkuenfte-aus-leistungen-im-sinne-des-%C2%A7-22-nr-3-estg/)</w:t>
      </w:r>
    </w:p>
    <w:p>
      <w:pPr>
        <w:pStyle w:val="ListBullet"/>
      </w:pPr>
      <w:r>
        <w:rPr>
          <w:rFonts w:ascii="Calibri" w:hAnsi="Calibri"/>
          <w:color w:val="333333"/>
          <w:sz w:val="21"/>
        </w:rPr>
        <w:t>[Steuerpflicht von Provisionen an Tippgeber — iww.de](https://www.iww.de/wvv/steuergestaltung/tippgeber-steuerpflicht-von-provisionen-an-tippgeber-f94388)</w:t>
      </w:r>
    </w:p>
    <w:p>
      <w:pPr>
        <w:pStyle w:val="ListBullet"/>
      </w:pPr>
      <w:r>
        <w:rPr>
          <w:rFonts w:ascii="Calibri" w:hAnsi="Calibri"/>
          <w:color w:val="333333"/>
          <w:sz w:val="21"/>
        </w:rPr>
        <w:t>[Provisionszahlungen im Visier des Finanzamts — dhz.net](https://www.deutsche-handwerks-zeitung.de/provisionszahlungen-im-visier-des-finanzamts-140862/)</w:t>
      </w:r>
    </w:p>
    <w:p>
      <w:r>
        <w:rPr>
          <w:rFonts w:ascii="Calibri" w:hAnsi="Calibri"/>
          <w:b/>
          <w:color w:val="333333"/>
          <w:sz w:val="21"/>
        </w:rPr>
        <w:t>Variante B — Gewerbetreibender / Freiberufler / UG / GmbH:</w:t>
      </w:r>
    </w:p>
    <w:p>
      <w:r>
        <w:rPr>
          <w:rFonts w:ascii="Calibri" w:hAnsi="Calibri"/>
          <w:color w:val="333333"/>
          <w:sz w:val="21"/>
        </w:rPr>
        <w:t xml:space="preserve">Der Vermittler stellt eine ordnungsgemäße </w:t>
      </w:r>
      <w:r>
        <w:rPr>
          <w:rFonts w:ascii="Calibri" w:hAnsi="Calibri"/>
          <w:b/>
          <w:color w:val="333333"/>
          <w:sz w:val="21"/>
        </w:rPr>
        <w:t>Rechnung gemäß § 14 UStG</w:t>
      </w:r>
      <w:r>
        <w:rPr>
          <w:rFonts w:ascii="Calibri" w:hAnsi="Calibri"/>
          <w:color w:val="333333"/>
          <w:sz w:val="21"/>
        </w:rPr>
        <w:t xml:space="preserve"> an sevenlayers.</w:t>
      </w:r>
    </w:p>
    <w:tbl>
      <w:tblPr>
        <w:tblStyle w:val="TableGrid"/>
        <w:tblW w:type="auto" w:w="0"/>
        <w:jc w:val="left"/>
        <w:tblLook w:firstColumn="1" w:firstRow="1" w:lastColumn="0" w:lastRow="0" w:noHBand="0" w:noVBand="1" w:val="04A0"/>
      </w:tblPr>
      <w:tblGrid>
        <w:gridCol w:w="4703"/>
        <w:gridCol w:w="4703"/>
      </w:tblGrid>
      <w:tr>
        <w:tc>
          <w:tcPr>
            <w:tcW w:type="dxa" w:w="4703"/>
            <w:shd w:fill="2d2d44" w:val="clear"/>
          </w:tcPr>
          <w:p>
            <w:pPr>
              <w:jc w:val="left"/>
            </w:pPr>
            <w:r/>
            <w:r>
              <w:rPr>
                <w:rFonts w:ascii="Calibri" w:hAnsi="Calibri"/>
                <w:b/>
                <w:color w:val="FFFFFF"/>
                <w:sz w:val="19"/>
              </w:rPr>
              <w:t>Aspekt</w:t>
            </w:r>
          </w:p>
        </w:tc>
        <w:tc>
          <w:tcPr>
            <w:tcW w:type="dxa" w:w="4703"/>
            <w:shd w:fill="2d2d44" w:val="clear"/>
          </w:tcPr>
          <w:p>
            <w:pPr>
              <w:jc w:val="left"/>
            </w:pPr>
            <w:r/>
            <w:r>
              <w:rPr>
                <w:rFonts w:ascii="Calibri" w:hAnsi="Calibri"/>
                <w:b/>
                <w:color w:val="FFFFFF"/>
                <w:sz w:val="19"/>
              </w:rPr>
              <w:t>Behandlung</w:t>
            </w:r>
          </w:p>
        </w:tc>
      </w:tr>
      <w:tr>
        <w:tc>
          <w:tcPr>
            <w:tcW w:type="dxa" w:w="4703"/>
          </w:tcPr>
          <w:p>
            <w:r/>
            <w:r>
              <w:rPr>
                <w:rFonts w:ascii="Calibri" w:hAnsi="Calibri"/>
                <w:color w:val="333333"/>
                <w:sz w:val="19"/>
              </w:rPr>
              <w:t>Einkunftsart</w:t>
            </w:r>
          </w:p>
        </w:tc>
        <w:tc>
          <w:tcPr>
            <w:tcW w:type="dxa" w:w="4703"/>
          </w:tcPr>
          <w:p>
            <w:r/>
            <w:r>
              <w:rPr>
                <w:rFonts w:ascii="Calibri" w:hAnsi="Calibri"/>
                <w:color w:val="333333"/>
                <w:sz w:val="19"/>
              </w:rPr>
              <w:t>§ 15 EStG (Gewerbebetrieb) oder § 18 EStG (Freiberufler), je nach Tätigkeit des Partners</w:t>
            </w:r>
          </w:p>
        </w:tc>
      </w:tr>
      <w:tr>
        <w:tc>
          <w:tcPr>
            <w:tcW w:type="dxa" w:w="4703"/>
            <w:shd w:fill="F5F5F8" w:val="clear"/>
          </w:tcPr>
          <w:p>
            <w:r/>
            <w:r>
              <w:rPr>
                <w:rFonts w:ascii="Calibri" w:hAnsi="Calibri"/>
                <w:color w:val="333333"/>
                <w:sz w:val="19"/>
              </w:rPr>
              <w:t>Umsatzsteuer</w:t>
            </w:r>
          </w:p>
        </w:tc>
        <w:tc>
          <w:tcPr>
            <w:tcW w:type="dxa" w:w="4703"/>
            <w:shd w:fill="F5F5F8" w:val="clear"/>
          </w:tcPr>
          <w:p>
            <w:r/>
            <w:r>
              <w:rPr>
                <w:rFonts w:ascii="Calibri" w:hAnsi="Calibri"/>
                <w:color w:val="333333"/>
                <w:sz w:val="19"/>
              </w:rPr>
              <w:t>19% USt auf der Rechnung, sofern regelbesteuert. Keine USt bei Kleinunternehmer (§ 19 UStG).</w:t>
            </w:r>
          </w:p>
        </w:tc>
      </w:tr>
      <w:tr>
        <w:tc>
          <w:tcPr>
            <w:tcW w:type="dxa" w:w="4703"/>
          </w:tcPr>
          <w:p>
            <w:r/>
            <w:r>
              <w:rPr>
                <w:rFonts w:ascii="Calibri" w:hAnsi="Calibri"/>
                <w:color w:val="333333"/>
                <w:sz w:val="19"/>
              </w:rPr>
              <w:t>Rechnungsanforderungen</w:t>
            </w:r>
          </w:p>
        </w:tc>
        <w:tc>
          <w:tcPr>
            <w:tcW w:type="dxa" w:w="4703"/>
          </w:tcPr>
          <w:p>
            <w:r/>
            <w:r>
              <w:rPr>
                <w:rFonts w:ascii="Calibri" w:hAnsi="Calibri"/>
                <w:color w:val="333333"/>
                <w:sz w:val="19"/>
              </w:rPr>
              <w:t>Name, Anschrift, Steuernummer oder USt-IdNr., Leistungsbeschreibung, Nettobetrag, USt-Betrag, Bruttobetrag, Rechnungsdatum, Zahlungsziel</w:t>
            </w:r>
          </w:p>
        </w:tc>
      </w:tr>
      <w:tr>
        <w:tc>
          <w:tcPr>
            <w:tcW w:type="dxa" w:w="4703"/>
            <w:shd w:fill="F5F5F8" w:val="clear"/>
          </w:tcPr>
          <w:p>
            <w:r/>
            <w:r>
              <w:rPr>
                <w:rFonts w:ascii="Calibri" w:hAnsi="Calibri"/>
                <w:color w:val="333333"/>
                <w:sz w:val="19"/>
              </w:rPr>
              <w:t>Vorsteuerabzug</w:t>
            </w:r>
          </w:p>
        </w:tc>
        <w:tc>
          <w:tcPr>
            <w:tcW w:type="dxa" w:w="4703"/>
            <w:shd w:fill="F5F5F8" w:val="clear"/>
          </w:tcPr>
          <w:p>
            <w:r/>
            <w:r>
              <w:rPr>
                <w:rFonts w:ascii="Calibri" w:hAnsi="Calibri"/>
                <w:color w:val="333333"/>
                <w:sz w:val="19"/>
              </w:rPr>
              <w:t>sevenlayers zieht die ausgewiesene USt als Vorsteuer ab (§ 15 UStG)</w:t>
            </w:r>
          </w:p>
        </w:tc>
      </w:tr>
      <w:tr>
        <w:tc>
          <w:tcPr>
            <w:tcW w:type="dxa" w:w="4703"/>
          </w:tcPr>
          <w:p>
            <w:r/>
            <w:r>
              <w:rPr>
                <w:rFonts w:ascii="Calibri" w:hAnsi="Calibri"/>
                <w:color w:val="333333"/>
                <w:sz w:val="19"/>
              </w:rPr>
              <w:t>Nachweis</w:t>
            </w:r>
          </w:p>
        </w:tc>
        <w:tc>
          <w:tcPr>
            <w:tcW w:type="dxa" w:w="4703"/>
          </w:tcPr>
          <w:p>
            <w:r/>
            <w:r>
              <w:rPr>
                <w:rFonts w:ascii="Calibri" w:hAnsi="Calibri"/>
                <w:color w:val="333333"/>
                <w:sz w:val="19"/>
              </w:rPr>
              <w:t>Rechnung des Partners + Kontoauszug (Überweisung)</w:t>
            </w:r>
          </w:p>
        </w:tc>
      </w:tr>
    </w:tbl>
    <w:p/>
    <w:p>
      <w:r>
        <w:rPr>
          <w:rFonts w:ascii="Calibri" w:hAnsi="Calibri"/>
          <w:b/>
          <w:color w:val="333333"/>
          <w:sz w:val="21"/>
        </w:rPr>
        <w:t>Zusammenfassung:</w:t>
      </w:r>
      <w:r>
        <w:rPr>
          <w:rFonts w:ascii="Calibri" w:hAnsi="Calibri"/>
          <w:color w:val="333333"/>
          <w:sz w:val="21"/>
        </w:rPr>
        <w:t xml:space="preserve"> Privatperson → sevenlayers zahlt brutto, erstellt Provisionsabrechnung, kein Steuerabzug. Gewerbetreibender → Partner schreibt Rechnung, sevenlayers zahlt und zieht Vorsteuer.</w:t>
      </w:r>
    </w:p>
    <w:p>
      <w:pPr>
        <w:spacing w:before="120" w:after="120"/>
        <w:jc w:val="center"/>
      </w:pPr>
      <w:r>
        <w:rPr>
          <w:color w:val="CCCCCC"/>
          <w:sz w:val="12"/>
        </w:rPr>
        <w:t>────────────────────────────────────────────────────────────</w:t>
      </w:r>
    </w:p>
    <w:p>
      <w:r>
        <w:rPr>
          <w:rFonts w:ascii="Calibri" w:hAnsi="Calibri"/>
          <w:color w:val="333333"/>
          <w:sz w:val="21"/>
        </w:rPr>
        <w:t>--- VEREINBARUNG BEGINN ---</w:t>
      </w:r>
    </w:p>
    <w:p>
      <w:pPr>
        <w:spacing w:before="120" w:after="120"/>
        <w:jc w:val="center"/>
      </w:pPr>
      <w:r>
        <w:rPr>
          <w:color w:val="CCCCCC"/>
          <w:sz w:val="12"/>
        </w:rPr>
        <w:t>────────────────────────────────────────────────────────────</w:t>
      </w:r>
    </w:p>
    <w:p>
      <w:pPr>
        <w:pStyle w:val="Heading1"/>
      </w:pPr>
      <w:r>
        <w:t>Vermittlungsvereinbarung</w:t>
      </w:r>
    </w:p>
    <w:p>
      <w:r>
        <w:rPr>
          <w:rFonts w:ascii="Calibri" w:hAnsi="Calibri"/>
          <w:color w:val="333333"/>
          <w:sz w:val="21"/>
        </w:rPr>
        <w:t>gemäß § 652 BGB (Vermittlungsmaklervertrag)</w:t>
      </w:r>
    </w:p>
    <w:p>
      <w:pPr>
        <w:spacing w:before="120" w:after="120"/>
        <w:jc w:val="center"/>
      </w:pPr>
      <w:r>
        <w:rPr>
          <w:color w:val="CCCCCC"/>
          <w:sz w:val="12"/>
        </w:rPr>
        <w:t>────────────────────────────────────────────────────────────</w:t>
      </w:r>
    </w:p>
    <w:p>
      <w:r>
        <w:rPr>
          <w:rFonts w:ascii="Calibri" w:hAnsi="Calibri"/>
          <w:b/>
          <w:color w:val="333333"/>
          <w:sz w:val="21"/>
        </w:rPr>
        <w:t>zwischen</w:t>
      </w:r>
    </w:p>
    <w:p>
      <w:r>
        <w:rPr>
          <w:rFonts w:ascii="Calibri" w:hAnsi="Calibri"/>
          <w:color w:val="333333"/>
          <w:sz w:val="21"/>
        </w:rPr>
        <w:t>Vound Brand UG (haftungsbeschränkt)</w:t>
      </w:r>
    </w:p>
    <w:p>
      <w:r>
        <w:rPr>
          <w:rFonts w:ascii="Calibri" w:hAnsi="Calibri"/>
          <w:color w:val="333333"/>
          <w:sz w:val="21"/>
        </w:rPr>
        <w:t>vertreten durch den Geschäftsführer Remington Splettstoesser</w:t>
      </w:r>
    </w:p>
    <w:p>
      <w:r>
        <w:rPr>
          <w:rFonts w:ascii="Calibri" w:hAnsi="Calibri"/>
          <w:color w:val="333333"/>
          <w:sz w:val="21"/>
        </w:rPr>
        <w:t>Am Markt 11, 17309 Pasewalk</w:t>
      </w:r>
    </w:p>
    <w:p>
      <w:r>
        <w:rPr>
          <w:rFonts w:ascii="Calibri" w:hAnsi="Calibri"/>
          <w:color w:val="333333"/>
          <w:sz w:val="21"/>
        </w:rPr>
        <w:t xml:space="preserve">handelnd unter der Marke </w:t>
      </w:r>
      <w:r>
        <w:rPr>
          <w:rFonts w:ascii="Calibri" w:hAnsi="Calibri"/>
          <w:b/>
          <w:color w:val="333333"/>
          <w:sz w:val="21"/>
        </w:rPr>
        <w:t>sevenlayers</w:t>
      </w:r>
    </w:p>
    <w:p>
      <w:r>
        <w:rPr>
          <w:rFonts w:ascii="Calibri" w:hAnsi="Calibri"/>
          <w:color w:val="333333"/>
          <w:sz w:val="21"/>
        </w:rPr>
        <w:t xml:space="preserve">— nachfolgend </w:t>
      </w:r>
      <w:r>
        <w:rPr>
          <w:rFonts w:ascii="Calibri" w:hAnsi="Calibri"/>
          <w:b/>
          <w:color w:val="333333"/>
          <w:sz w:val="21"/>
        </w:rPr>
        <w:t>„Auftraggeber"</w:t>
      </w:r>
      <w:r>
        <w:rPr>
          <w:rFonts w:ascii="Calibri" w:hAnsi="Calibri"/>
          <w:color w:val="333333"/>
          <w:sz w:val="21"/>
        </w:rPr>
        <w:t xml:space="preserve"> —</w:t>
      </w:r>
    </w:p>
    <w:p>
      <w:r>
        <w:rPr>
          <w:rFonts w:ascii="Calibri" w:hAnsi="Calibri"/>
          <w:b/>
          <w:color w:val="333333"/>
          <w:sz w:val="21"/>
        </w:rPr>
        <w:t>und</w:t>
      </w:r>
    </w:p>
    <w:p>
      <w:r>
        <w:rPr>
          <w:rFonts w:ascii="Calibri" w:hAnsi="Calibri"/>
          <w:color w:val="333333"/>
          <w:sz w:val="21"/>
        </w:rPr>
        <w:t>`[VOLLSTÄNDIGER NAME]`</w:t>
      </w:r>
    </w:p>
    <w:p>
      <w:r>
        <w:rPr>
          <w:rFonts w:ascii="Calibri" w:hAnsi="Calibri"/>
          <w:color w:val="333333"/>
          <w:sz w:val="21"/>
        </w:rPr>
        <w:t>`[FIRMA, FALLS VORHANDEN — ANDERNFALLS: „Privatperson"]`</w:t>
      </w:r>
    </w:p>
    <w:p>
      <w:r>
        <w:rPr>
          <w:rFonts w:ascii="Calibri" w:hAnsi="Calibri"/>
          <w:color w:val="333333"/>
          <w:sz w:val="21"/>
        </w:rPr>
        <w:t>`[STRASSE, HAUSNUMMER]`</w:t>
      </w:r>
    </w:p>
    <w:p>
      <w:r>
        <w:rPr>
          <w:rFonts w:ascii="Calibri" w:hAnsi="Calibri"/>
          <w:color w:val="333333"/>
          <w:sz w:val="21"/>
        </w:rPr>
        <w:t>`[PLZ, ORT]`</w:t>
      </w:r>
    </w:p>
    <w:p>
      <w:r>
        <w:rPr>
          <w:rFonts w:ascii="Calibri" w:hAnsi="Calibri"/>
          <w:color w:val="333333"/>
          <w:sz w:val="21"/>
        </w:rPr>
        <w:t>`[STEUERNUMMER ODER UST-IDNR., FALLS VORHANDEN]`</w:t>
      </w:r>
    </w:p>
    <w:p>
      <w:r>
        <w:rPr>
          <w:rFonts w:ascii="Calibri" w:hAnsi="Calibri"/>
          <w:color w:val="333333"/>
          <w:sz w:val="21"/>
        </w:rPr>
        <w:t xml:space="preserve">— nachfolgend </w:t>
      </w:r>
      <w:r>
        <w:rPr>
          <w:rFonts w:ascii="Calibri" w:hAnsi="Calibri"/>
          <w:b/>
          <w:color w:val="333333"/>
          <w:sz w:val="21"/>
        </w:rPr>
        <w:t>„Vermittler"</w:t>
      </w:r>
      <w:r>
        <w:rPr>
          <w:rFonts w:ascii="Calibri" w:hAnsi="Calibri"/>
          <w:color w:val="333333"/>
          <w:sz w:val="21"/>
        </w:rPr>
        <w:t xml:space="preserve"> —</w:t>
      </w:r>
    </w:p>
    <w:p>
      <w:r>
        <w:rPr>
          <w:rFonts w:ascii="Calibri" w:hAnsi="Calibri"/>
          <w:color w:val="333333"/>
          <w:sz w:val="21"/>
        </w:rPr>
        <w:t xml:space="preserve">— Auftraggeber und Vermittler gemeinsam </w:t>
      </w:r>
      <w:r>
        <w:rPr>
          <w:rFonts w:ascii="Calibri" w:hAnsi="Calibri"/>
          <w:b/>
          <w:color w:val="333333"/>
          <w:sz w:val="21"/>
        </w:rPr>
        <w:t>„Parteien"</w:t>
      </w:r>
      <w:r>
        <w:rPr>
          <w:rFonts w:ascii="Calibri" w:hAnsi="Calibri"/>
          <w:color w:val="333333"/>
          <w:sz w:val="21"/>
        </w:rPr>
        <w:t xml:space="preserve"> —</w:t>
      </w:r>
    </w:p>
    <w:p>
      <w:pPr>
        <w:spacing w:before="120" w:after="120"/>
        <w:jc w:val="center"/>
      </w:pPr>
      <w:r>
        <w:rPr>
          <w:color w:val="CCCCCC"/>
          <w:sz w:val="12"/>
        </w:rPr>
        <w:t>────────────────────────────────────────────────────────────</w:t>
      </w:r>
    </w:p>
    <w:p>
      <w:pPr>
        <w:pStyle w:val="Heading2"/>
      </w:pPr>
      <w:r>
        <w:t>§ 1 — Vertragsgegenstand und Rechtsgrundlage</w:t>
      </w:r>
    </w:p>
    <w:p>
      <w:r>
        <w:rPr>
          <w:rFonts w:ascii="Calibri" w:hAnsi="Calibri"/>
          <w:color w:val="333333"/>
          <w:sz w:val="21"/>
        </w:rPr>
        <w:t xml:space="preserve">(1) Gegenstand dieser Vereinbarung ist die gelegentliche Vermittlung von Kunden an den Auftraggeber durch den Vermittler gemäß </w:t>
      </w:r>
      <w:r>
        <w:rPr>
          <w:rFonts w:ascii="Calibri" w:hAnsi="Calibri"/>
          <w:b/>
          <w:color w:val="333333"/>
          <w:sz w:val="21"/>
        </w:rPr>
        <w:t>§ 652 BGB</w:t>
      </w:r>
      <w:r>
        <w:rPr>
          <w:rFonts w:ascii="Calibri" w:hAnsi="Calibri"/>
          <w:color w:val="333333"/>
          <w:sz w:val="21"/>
        </w:rPr>
        <w:t xml:space="preserve"> (Maklervertrag). Der Auftraggeber betreibt unter der Marke „sevenlayers" eine KI-Plattform für Unternehmenskommunikation und -betrieb.</w:t>
      </w:r>
    </w:p>
    <w:p>
      <w:r>
        <w:rPr>
          <w:rFonts w:ascii="Calibri" w:hAnsi="Calibri"/>
          <w:color w:val="333333"/>
          <w:sz w:val="21"/>
        </w:rPr>
        <w:t xml:space="preserve">(2) Der Vermittler erbringt </w:t>
      </w:r>
      <w:r>
        <w:rPr>
          <w:rFonts w:ascii="Calibri" w:hAnsi="Calibri"/>
          <w:b/>
          <w:color w:val="333333"/>
          <w:sz w:val="21"/>
        </w:rPr>
        <w:t>Vermittlungsleistungen</w:t>
      </w:r>
      <w:r>
        <w:rPr>
          <w:rFonts w:ascii="Calibri" w:hAnsi="Calibri"/>
          <w:color w:val="333333"/>
          <w:sz w:val="21"/>
        </w:rPr>
        <w:t xml:space="preserve"> im Sinne des § 652 Abs. 1 Satz 2 BGB: Er stellt aktiv den Kontakt zwischen dem Auftraggeber und potenziellen Kunden her. Die Vermittlungsleistung umfasst mindestens:</w:t>
      </w:r>
    </w:p>
    <w:p>
      <w:pPr>
        <w:pStyle w:val="ListBullet"/>
      </w:pPr>
      <w:r>
        <w:rPr>
          <w:rFonts w:ascii="Calibri" w:hAnsi="Calibri"/>
          <w:color w:val="333333"/>
          <w:sz w:val="21"/>
        </w:rPr>
        <w:t xml:space="preserve">die </w:t>
      </w:r>
      <w:r>
        <w:rPr>
          <w:rFonts w:ascii="Calibri" w:hAnsi="Calibri"/>
          <w:b/>
          <w:color w:val="333333"/>
          <w:sz w:val="21"/>
        </w:rPr>
        <w:t>eigenständige Kontaktaufnahme</w:t>
      </w:r>
      <w:r>
        <w:rPr>
          <w:rFonts w:ascii="Calibri" w:hAnsi="Calibri"/>
          <w:color w:val="333333"/>
          <w:sz w:val="21"/>
        </w:rPr>
        <w:t xml:space="preserve"> mit dem potenziellen Kunden und die Herstellung eines Erstkontakts zum Auftraggeber (per persönliche Vorstellung, WhatsApp-Einleitung, E-Mail-Einleitung, LinkedIn-Einleitung oder vergleichbar), oder</w:t>
      </w:r>
    </w:p>
    <w:p>
      <w:pPr>
        <w:pStyle w:val="ListBullet"/>
      </w:pPr>
      <w:r>
        <w:rPr>
          <w:rFonts w:ascii="Calibri" w:hAnsi="Calibri"/>
          <w:color w:val="333333"/>
          <w:sz w:val="21"/>
        </w:rPr>
        <w:t xml:space="preserve">die </w:t>
      </w:r>
      <w:r>
        <w:rPr>
          <w:rFonts w:ascii="Calibri" w:hAnsi="Calibri"/>
          <w:b/>
          <w:color w:val="333333"/>
          <w:sz w:val="21"/>
        </w:rPr>
        <w:t>aktive Einleitung eines Gesprächs</w:t>
      </w:r>
      <w:r>
        <w:rPr>
          <w:rFonts w:ascii="Calibri" w:hAnsi="Calibri"/>
          <w:color w:val="333333"/>
          <w:sz w:val="21"/>
        </w:rPr>
        <w:t xml:space="preserve"> zwischen dem Auftraggeber und dem potenziellen Kunden, bei dem der Vermittler die Parteien zusammenführt.</w:t>
      </w:r>
    </w:p>
    <w:p>
      <w:r>
        <w:rPr>
          <w:rFonts w:ascii="Calibri" w:hAnsi="Calibri"/>
          <w:color w:val="333333"/>
          <w:sz w:val="21"/>
        </w:rPr>
        <w:t xml:space="preserve">(3) </w:t>
      </w:r>
      <w:r>
        <w:rPr>
          <w:rFonts w:ascii="Calibri" w:hAnsi="Calibri"/>
          <w:b/>
          <w:color w:val="333333"/>
          <w:sz w:val="21"/>
        </w:rPr>
        <w:t>Abgrenzung zum Nachweismakler:</w:t>
      </w:r>
      <w:r>
        <w:rPr>
          <w:rFonts w:ascii="Calibri" w:hAnsi="Calibri"/>
          <w:color w:val="333333"/>
          <w:sz w:val="21"/>
        </w:rPr>
        <w:t xml:space="preserve"> Das bloße Benennen eines Namens, einer Firma oder einer Kontaktadresse, ohne dass der Vermittler den Kontakt aktiv hergestellt hat, begründet </w:t>
      </w:r>
      <w:r>
        <w:rPr>
          <w:rFonts w:ascii="Calibri" w:hAnsi="Calibri"/>
          <w:b/>
          <w:color w:val="333333"/>
          <w:sz w:val="21"/>
        </w:rPr>
        <w:t>keinen Provisionsanspruch</w:t>
      </w:r>
      <w:r>
        <w:rPr>
          <w:rFonts w:ascii="Calibri" w:hAnsi="Calibri"/>
          <w:color w:val="333333"/>
          <w:sz w:val="21"/>
        </w:rPr>
        <w:t>. Eine reine Nachweisleistung (§ 652 Abs. 1 Satz 1 BGB) ist von dieser Vereinbarung nicht erfasst.</w:t>
      </w:r>
    </w:p>
    <w:p>
      <w:r>
        <w:rPr>
          <w:rFonts w:ascii="Calibri" w:hAnsi="Calibri"/>
          <w:color w:val="333333"/>
          <w:sz w:val="21"/>
        </w:rPr>
        <w:t xml:space="preserve">(4) Der Vermittler ist nicht Angestellter, Arbeitnehmer, Vertreter oder Bevollmächtigter des Auftraggebers. Es besteht </w:t>
      </w:r>
      <w:r>
        <w:rPr>
          <w:rFonts w:ascii="Calibri" w:hAnsi="Calibri"/>
          <w:b/>
          <w:color w:val="333333"/>
          <w:sz w:val="21"/>
        </w:rPr>
        <w:t>kein Arbeitsverhältnis</w:t>
      </w:r>
      <w:r>
        <w:rPr>
          <w:rFonts w:ascii="Calibri" w:hAnsi="Calibri"/>
          <w:color w:val="333333"/>
          <w:sz w:val="21"/>
        </w:rPr>
        <w:t>. Der Vermittler unterliegt keiner Weisungsbindung hinsichtlich Ort, Zeit oder Art seiner Tätigkeit.</w:t>
      </w:r>
    </w:p>
    <w:p>
      <w:r>
        <w:rPr>
          <w:rFonts w:ascii="Calibri" w:hAnsi="Calibri"/>
          <w:color w:val="333333"/>
          <w:sz w:val="21"/>
        </w:rPr>
        <w:t xml:space="preserve">(5) </w:t>
      </w:r>
      <w:r>
        <w:rPr>
          <w:rFonts w:ascii="Calibri" w:hAnsi="Calibri"/>
          <w:b/>
          <w:color w:val="333333"/>
          <w:sz w:val="21"/>
        </w:rPr>
        <w:t>Abgrenzung zum Handelsvertreter:</w:t>
      </w:r>
      <w:r>
        <w:rPr>
          <w:rFonts w:ascii="Calibri" w:hAnsi="Calibri"/>
          <w:color w:val="333333"/>
          <w:sz w:val="21"/>
        </w:rPr>
        <w:t xml:space="preserve"> Diese Vereinbarung begründet </w:t>
      </w:r>
      <w:r>
        <w:rPr>
          <w:rFonts w:ascii="Calibri" w:hAnsi="Calibri"/>
          <w:b/>
          <w:color w:val="333333"/>
          <w:sz w:val="21"/>
        </w:rPr>
        <w:t>kein Handelsvertreterverhältnis</w:t>
      </w:r>
      <w:r>
        <w:rPr>
          <w:rFonts w:ascii="Calibri" w:hAnsi="Calibri"/>
          <w:color w:val="333333"/>
          <w:sz w:val="21"/>
        </w:rPr>
        <w:t xml:space="preserve"> im Sinne von § 84 HGB. Der Vermittler ist nicht ständig damit betraut, Geschäfte für den Auftraggeber zu vermitteln oder in dessen Namen abzuschließen. Es besteht keine Bemühenspflicht nach § 86 HGB. Die Vorschriften der §§ 84–92c HGB — insbesondere der Ausgleichsanspruch nach § 89b HGB — finden keine Anwendung.</w:t>
      </w:r>
    </w:p>
    <w:p>
      <w:pPr>
        <w:spacing w:before="120" w:after="120"/>
        <w:jc w:val="center"/>
      </w:pPr>
      <w:r>
        <w:rPr>
          <w:color w:val="CCCCCC"/>
          <w:sz w:val="12"/>
        </w:rPr>
        <w:t>────────────────────────────────────────────────────────────</w:t>
      </w:r>
    </w:p>
    <w:p>
      <w:pPr>
        <w:pStyle w:val="Heading2"/>
      </w:pPr>
      <w:r>
        <w:t>§ 2 — Provisionspflichtige Vermittlung</w:t>
      </w:r>
    </w:p>
    <w:p>
      <w:r>
        <w:rPr>
          <w:rFonts w:ascii="Calibri" w:hAnsi="Calibri"/>
          <w:color w:val="333333"/>
          <w:sz w:val="21"/>
        </w:rPr>
        <w:t xml:space="preserve">(1) Eine provisionspflichtige Vermittlung liegt vor, wenn der Vermittler den Kontakt zwischen dem Auftraggeber und einem potenziellen Kunden </w:t>
      </w:r>
      <w:r>
        <w:rPr>
          <w:rFonts w:ascii="Calibri" w:hAnsi="Calibri"/>
          <w:b/>
          <w:color w:val="333333"/>
          <w:sz w:val="21"/>
        </w:rPr>
        <w:t>aktiv hergestellt</w:t>
      </w:r>
      <w:r>
        <w:rPr>
          <w:rFonts w:ascii="Calibri" w:hAnsi="Calibri"/>
          <w:color w:val="333333"/>
          <w:sz w:val="21"/>
        </w:rPr>
        <w:t xml:space="preserve"> hat und dieser Kontakt zu einem zahlenden Kunden des Auftraggebers wird (§ 652 Abs. 1 Satz 2 BGB — Kausalität zwischen Vermittlung und Vertragsschluss).</w:t>
      </w:r>
    </w:p>
    <w:p>
      <w:r>
        <w:rPr>
          <w:rFonts w:ascii="Calibri" w:hAnsi="Calibri"/>
          <w:color w:val="333333"/>
          <w:sz w:val="21"/>
        </w:rPr>
        <w:t>(2) Der Kontakt gilt als vom Vermittler aktiv vermittelt, wenn kumulativ:</w:t>
      </w:r>
    </w:p>
    <w:p>
      <w:pPr>
        <w:pStyle w:val="ListBullet"/>
      </w:pPr>
      <w:r>
        <w:rPr>
          <w:rFonts w:ascii="Calibri" w:hAnsi="Calibri"/>
          <w:color w:val="333333"/>
          <w:sz w:val="21"/>
        </w:rPr>
        <w:t xml:space="preserve">(a) der Vermittler den Erstkontakt zwischen dem Auftraggeber und dem potenziellen Kunden </w:t>
      </w:r>
      <w:r>
        <w:rPr>
          <w:rFonts w:ascii="Calibri" w:hAnsi="Calibri"/>
          <w:b/>
          <w:color w:val="333333"/>
          <w:sz w:val="21"/>
        </w:rPr>
        <w:t>aktiv hergestellt</w:t>
      </w:r>
      <w:r>
        <w:rPr>
          <w:rFonts w:ascii="Calibri" w:hAnsi="Calibri"/>
          <w:color w:val="333333"/>
          <w:sz w:val="21"/>
        </w:rPr>
        <w:t xml:space="preserve"> hat — d. h. der Vermittler hat die Parteien zusammengeführt, nicht lediglich einen Namen oder eine Adresse mitgeteilt (vgl. § 1 Abs. 2 und 3),</w:t>
      </w:r>
    </w:p>
    <w:p>
      <w:pPr>
        <w:pStyle w:val="ListBullet"/>
      </w:pPr>
      <w:r>
        <w:rPr>
          <w:rFonts w:ascii="Calibri" w:hAnsi="Calibri"/>
          <w:color w:val="333333"/>
          <w:sz w:val="21"/>
        </w:rPr>
        <w:t>(b) der Auftraggeber den Kontakt zum Zeitpunkt der Vermittlung weder kannte noch aktiv bearbeitete (</w:t>
      </w:r>
      <w:r>
        <w:rPr>
          <w:rFonts w:ascii="Calibri" w:hAnsi="Calibri"/>
          <w:b/>
          <w:color w:val="333333"/>
          <w:sz w:val="21"/>
        </w:rPr>
        <w:t>Vorkenntnis-Einwand</w:t>
      </w:r>
      <w:r>
        <w:rPr>
          <w:rFonts w:ascii="Calibri" w:hAnsi="Calibri"/>
          <w:color w:val="333333"/>
          <w:sz w:val="21"/>
        </w:rPr>
        <w:t>, siehe § 2 Abs. 4), und</w:t>
      </w:r>
    </w:p>
    <w:p>
      <w:pPr>
        <w:pStyle w:val="ListBullet"/>
      </w:pPr>
      <w:r>
        <w:rPr>
          <w:rFonts w:ascii="Calibri" w:hAnsi="Calibri"/>
          <w:color w:val="333333"/>
          <w:sz w:val="21"/>
        </w:rPr>
        <w:t xml:space="preserve">(c) der potenzielle Kunde innerhalb von </w:t>
      </w:r>
      <w:r>
        <w:rPr>
          <w:rFonts w:ascii="Calibri" w:hAnsi="Calibri"/>
          <w:b/>
          <w:color w:val="333333"/>
          <w:sz w:val="21"/>
        </w:rPr>
        <w:t>90 Kalendertagen</w:t>
      </w:r>
      <w:r>
        <w:rPr>
          <w:rFonts w:ascii="Calibri" w:hAnsi="Calibri"/>
          <w:color w:val="333333"/>
          <w:sz w:val="21"/>
        </w:rPr>
        <w:t xml:space="preserve"> nach der Vermittlung einen entgeltlichen Vertrag mit dem Auftraggeber abschließt.</w:t>
      </w:r>
    </w:p>
    <w:p>
      <w:r>
        <w:rPr>
          <w:rFonts w:ascii="Calibri" w:hAnsi="Calibri"/>
          <w:color w:val="333333"/>
          <w:sz w:val="21"/>
        </w:rPr>
        <w:t>(3) Der Auftraggeber übernimmt ab dem vermittelten Erstkontakt sämtliche weiteren Schritte: Produktdemo, Testphase, Vertragsverhandlung, Vertragsabschluss, Konfiguration und Support.</w:t>
      </w:r>
    </w:p>
    <w:p>
      <w:r>
        <w:rPr>
          <w:rFonts w:ascii="Calibri" w:hAnsi="Calibri"/>
          <w:color w:val="333333"/>
          <w:sz w:val="21"/>
        </w:rPr>
        <w:t xml:space="preserve">(4) </w:t>
      </w:r>
      <w:r>
        <w:rPr>
          <w:rFonts w:ascii="Calibri" w:hAnsi="Calibri"/>
          <w:b/>
          <w:color w:val="333333"/>
          <w:sz w:val="21"/>
        </w:rPr>
        <w:t>Vorkenntnis-Einwand:</w:t>
      </w:r>
      <w:r>
        <w:rPr>
          <w:rFonts w:ascii="Calibri" w:hAnsi="Calibri"/>
          <w:color w:val="333333"/>
          <w:sz w:val="21"/>
        </w:rPr>
        <w:t xml:space="preserve"> Bestand zum Zeitpunkt der Vermittlung bereits ein Kontakt oder eine aktive Geschäftsbeziehung zwischen dem Auftraggeber und dem potenziellen Kunden, so entsteht kein Provisionsanspruch. Der Auftraggeber informiert den Vermittler in diesem Fall unverzüglich.</w:t>
      </w:r>
    </w:p>
    <w:p>
      <w:r>
        <w:rPr>
          <w:rFonts w:ascii="Calibri" w:hAnsi="Calibri"/>
          <w:color w:val="333333"/>
          <w:sz w:val="21"/>
        </w:rPr>
        <w:t>(5) Der Vermittler hat keinen Einfluss auf und keine Verantwortung für den Vertragsinhalt zwischen Auftraggeber und Kunde.</w:t>
      </w:r>
    </w:p>
    <w:p>
      <w:pPr>
        <w:spacing w:before="120" w:after="120"/>
        <w:jc w:val="center"/>
      </w:pPr>
      <w:r>
        <w:rPr>
          <w:color w:val="CCCCCC"/>
          <w:sz w:val="12"/>
        </w:rPr>
        <w:t>────────────────────────────────────────────────────────────</w:t>
      </w:r>
    </w:p>
    <w:p>
      <w:pPr>
        <w:pStyle w:val="Heading2"/>
      </w:pPr>
      <w:r>
        <w:t>§ 3 — Provision</w:t>
      </w:r>
    </w:p>
    <w:p>
      <w:r>
        <w:rPr>
          <w:rFonts w:ascii="Calibri" w:hAnsi="Calibri"/>
          <w:color w:val="333333"/>
          <w:sz w:val="21"/>
        </w:rPr>
        <w:t xml:space="preserve">(1) Für jeden erfolgreich vermittelten Kunden erhält der Vermittler eine Provision in Höhe von </w:t>
      </w:r>
      <w:r>
        <w:rPr>
          <w:rFonts w:ascii="Calibri" w:hAnsi="Calibri"/>
          <w:b/>
          <w:color w:val="333333"/>
          <w:sz w:val="21"/>
        </w:rPr>
        <w:t>20 % (zwanzig Prozent) des monatlichen Nettoumsatzes</w:t>
      </w:r>
      <w:r>
        <w:rPr>
          <w:rFonts w:ascii="Calibri" w:hAnsi="Calibri"/>
          <w:color w:val="333333"/>
          <w:sz w:val="21"/>
        </w:rPr>
        <w:t xml:space="preserve"> (ohne Umsatzsteuer) des Auftraggebers mit dem vermittelten Kunden.</w:t>
      </w:r>
    </w:p>
    <w:p>
      <w:r>
        <w:rPr>
          <w:rFonts w:ascii="Calibri" w:hAnsi="Calibri"/>
          <w:color w:val="333333"/>
          <w:sz w:val="21"/>
        </w:rPr>
        <w:t xml:space="preserve">(2) Die Provision wird für die </w:t>
      </w:r>
      <w:r>
        <w:rPr>
          <w:rFonts w:ascii="Calibri" w:hAnsi="Calibri"/>
          <w:b/>
          <w:color w:val="333333"/>
          <w:sz w:val="21"/>
        </w:rPr>
        <w:t>ersten drei (3) Monate</w:t>
      </w:r>
      <w:r>
        <w:rPr>
          <w:rFonts w:ascii="Calibri" w:hAnsi="Calibri"/>
          <w:color w:val="333333"/>
          <w:sz w:val="21"/>
        </w:rPr>
        <w:t xml:space="preserve"> der zahlungspflichtigen Kundenbeziehung gezahlt, gerechnet ab dem Datum der ersten Kundenzahlung an den Auftraggeber.</w:t>
      </w:r>
    </w:p>
    <w:p>
      <w:r>
        <w:rPr>
          <w:rFonts w:ascii="Calibri" w:hAnsi="Calibri"/>
          <w:color w:val="333333"/>
          <w:sz w:val="21"/>
        </w:rPr>
        <w:t>(3) Der Provisionsanspruch entsteht aufschiebend bedingt: Er wird fällig, wenn und soweit der Kunde an den Auftraggeber zahlt. Für Monate, in denen der Kunde nicht zahlt (z. B. wegen Kündigung, Zahlungsverzug oder kostenloser Testphase), entsteht kein Provisionsanspruch.</w:t>
      </w:r>
    </w:p>
    <w:p>
      <w:r>
        <w:rPr>
          <w:rFonts w:ascii="Calibri" w:hAnsi="Calibri"/>
          <w:color w:val="333333"/>
          <w:sz w:val="21"/>
        </w:rPr>
        <w:t>(4) Berechnungsbeispiele: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44" w:val="clear"/>
          </w:tcPr>
          <w:p>
            <w:pPr>
              <w:jc w:val="left"/>
            </w:pPr>
            <w:r/>
            <w:r>
              <w:rPr>
                <w:rFonts w:ascii="Calibri" w:hAnsi="Calibri"/>
                <w:b/>
                <w:color w:val="FFFFFF"/>
                <w:sz w:val="19"/>
              </w:rPr>
              <w:t>Monatlicher Kundenumsatz (netto)</w:t>
            </w:r>
          </w:p>
        </w:tc>
        <w:tc>
          <w:tcPr>
            <w:tcW w:type="dxa" w:w="3135"/>
            <w:shd w:fill="2d2d44" w:val="clear"/>
          </w:tcPr>
          <w:p>
            <w:pPr>
              <w:jc w:val="left"/>
            </w:pPr>
            <w:r/>
            <w:r>
              <w:rPr>
                <w:rFonts w:ascii="Calibri" w:hAnsi="Calibri"/>
                <w:b/>
                <w:color w:val="FFFFFF"/>
                <w:sz w:val="19"/>
              </w:rPr>
              <w:t>Provision pro Monat</w:t>
            </w:r>
          </w:p>
        </w:tc>
        <w:tc>
          <w:tcPr>
            <w:tcW w:type="dxa" w:w="3135"/>
            <w:shd w:fill="2d2d44" w:val="clear"/>
          </w:tcPr>
          <w:p>
            <w:pPr>
              <w:jc w:val="left"/>
            </w:pPr>
            <w:r/>
            <w:r>
              <w:rPr>
                <w:rFonts w:ascii="Calibri" w:hAnsi="Calibri"/>
                <w:b/>
                <w:color w:val="FFFFFF"/>
                <w:sz w:val="19"/>
              </w:rPr>
              <w:t>Provision gesamt (3 Monate)</w:t>
            </w:r>
          </w:p>
        </w:tc>
      </w:tr>
      <w:tr>
        <w:tc>
          <w:tcPr>
            <w:tcW w:type="dxa" w:w="3135"/>
          </w:tcPr>
          <w:p>
            <w:r/>
            <w:r>
              <w:rPr>
                <w:rFonts w:ascii="Calibri" w:hAnsi="Calibri"/>
                <w:color w:val="333333"/>
                <w:sz w:val="19"/>
              </w:rPr>
              <w:t>2.000 €</w:t>
            </w:r>
          </w:p>
        </w:tc>
        <w:tc>
          <w:tcPr>
            <w:tcW w:type="dxa" w:w="3135"/>
          </w:tcPr>
          <w:p>
            <w:r/>
            <w:r>
              <w:rPr>
                <w:rFonts w:ascii="Calibri" w:hAnsi="Calibri"/>
                <w:color w:val="333333"/>
                <w:sz w:val="19"/>
              </w:rPr>
              <w:t>400 €</w:t>
            </w:r>
          </w:p>
        </w:tc>
        <w:tc>
          <w:tcPr>
            <w:tcW w:type="dxa" w:w="3135"/>
          </w:tcPr>
          <w:p>
            <w:r/>
            <w:r>
              <w:rPr>
                <w:rFonts w:ascii="Calibri" w:hAnsi="Calibri"/>
                <w:color w:val="333333"/>
                <w:sz w:val="19"/>
              </w:rPr>
              <w:t>1.200 €</w:t>
            </w:r>
          </w:p>
        </w:tc>
      </w:tr>
      <w:tr>
        <w:tc>
          <w:tcPr>
            <w:tcW w:type="dxa" w:w="3135"/>
            <w:shd w:fill="F5F5F8" w:val="clear"/>
          </w:tcPr>
          <w:p>
            <w:r/>
            <w:r>
              <w:rPr>
                <w:rFonts w:ascii="Calibri" w:hAnsi="Calibri"/>
                <w:color w:val="333333"/>
                <w:sz w:val="19"/>
              </w:rPr>
              <w:t>2.500 €</w:t>
            </w:r>
          </w:p>
        </w:tc>
        <w:tc>
          <w:tcPr>
            <w:tcW w:type="dxa" w:w="3135"/>
            <w:shd w:fill="F5F5F8" w:val="clear"/>
          </w:tcPr>
          <w:p>
            <w:r/>
            <w:r>
              <w:rPr>
                <w:rFonts w:ascii="Calibri" w:hAnsi="Calibri"/>
                <w:color w:val="333333"/>
                <w:sz w:val="19"/>
              </w:rPr>
              <w:t>500 €</w:t>
            </w:r>
          </w:p>
        </w:tc>
        <w:tc>
          <w:tcPr>
            <w:tcW w:type="dxa" w:w="3135"/>
            <w:shd w:fill="F5F5F8" w:val="clear"/>
          </w:tcPr>
          <w:p>
            <w:r/>
            <w:r>
              <w:rPr>
                <w:rFonts w:ascii="Calibri" w:hAnsi="Calibri"/>
                <w:color w:val="333333"/>
                <w:sz w:val="19"/>
              </w:rPr>
              <w:t>1.500 €</w:t>
            </w:r>
          </w:p>
        </w:tc>
      </w:tr>
      <w:tr>
        <w:tc>
          <w:tcPr>
            <w:tcW w:type="dxa" w:w="3135"/>
          </w:tcPr>
          <w:p>
            <w:r/>
            <w:r>
              <w:rPr>
                <w:rFonts w:ascii="Calibri" w:hAnsi="Calibri"/>
                <w:color w:val="333333"/>
                <w:sz w:val="19"/>
              </w:rPr>
              <w:t>3.000 €</w:t>
            </w:r>
          </w:p>
        </w:tc>
        <w:tc>
          <w:tcPr>
            <w:tcW w:type="dxa" w:w="3135"/>
          </w:tcPr>
          <w:p>
            <w:r/>
            <w:r>
              <w:rPr>
                <w:rFonts w:ascii="Calibri" w:hAnsi="Calibri"/>
                <w:color w:val="333333"/>
                <w:sz w:val="19"/>
              </w:rPr>
              <w:t>600 €</w:t>
            </w:r>
          </w:p>
        </w:tc>
        <w:tc>
          <w:tcPr>
            <w:tcW w:type="dxa" w:w="3135"/>
          </w:tcPr>
          <w:p>
            <w:r/>
            <w:r>
              <w:rPr>
                <w:rFonts w:ascii="Calibri" w:hAnsi="Calibri"/>
                <w:color w:val="333333"/>
                <w:sz w:val="19"/>
              </w:rPr>
              <w:t>1.800 €</w:t>
            </w:r>
          </w:p>
        </w:tc>
      </w:tr>
    </w:tbl>
    <w:p/>
    <w:p>
      <w:r>
        <w:rPr>
          <w:rFonts w:ascii="Calibri" w:hAnsi="Calibri"/>
          <w:color w:val="333333"/>
          <w:sz w:val="21"/>
        </w:rPr>
        <w:t>(5) Nach Ablauf der drei provisionspflichtigen Monate erlischt der Provisionsanspruch für den betreffenden Kunden, unabhängig davon, ob das Kundenverhältnis fortbesteht.</w:t>
      </w:r>
    </w:p>
    <w:p>
      <w:r>
        <w:rPr>
          <w:rFonts w:ascii="Calibri" w:hAnsi="Calibri"/>
          <w:color w:val="333333"/>
          <w:sz w:val="21"/>
        </w:rPr>
        <w:t>(6) Es erfolgt keine Vorauszahlung auf zukünftige Provisionsansprüche.</w:t>
      </w:r>
    </w:p>
    <w:p>
      <w:pPr>
        <w:spacing w:before="120" w:after="120"/>
        <w:jc w:val="center"/>
      </w:pPr>
      <w:r>
        <w:rPr>
          <w:color w:val="CCCCCC"/>
          <w:sz w:val="12"/>
        </w:rPr>
        <w:t>────────────────────────────────────────────────────────────</w:t>
      </w:r>
    </w:p>
    <w:p>
      <w:pPr>
        <w:pStyle w:val="Heading2"/>
      </w:pPr>
      <w:r>
        <w:t>§ 4 — Abrechnung und Zahlung</w:t>
      </w:r>
    </w:p>
    <w:p>
      <w:pPr>
        <w:pStyle w:val="Heading3"/>
      </w:pPr>
      <w:r>
        <w:t>Variante A — Vermittler ist Privatperson</w:t>
      </w:r>
    </w:p>
    <w:p>
      <w:r>
        <w:rPr>
          <w:i/>
          <w:color w:val="888888"/>
          <w:sz w:val="18"/>
        </w:rPr>
        <w:t>(Diese Variante gilt, wenn der Vermittler kein Gewerbe betreibt und keine Umsatzsteuer ausweist.)</w:t>
      </w:r>
    </w:p>
    <w:p>
      <w:r>
        <w:rPr>
          <w:rFonts w:ascii="Calibri" w:hAnsi="Calibri"/>
          <w:color w:val="333333"/>
          <w:sz w:val="21"/>
        </w:rPr>
        <w:t xml:space="preserve">(1) Der Auftraggeber erstellt nach Eingang jeder provisionspflichtigen Kundenzahlung eine </w:t>
      </w:r>
      <w:r>
        <w:rPr>
          <w:rFonts w:ascii="Calibri" w:hAnsi="Calibri"/>
          <w:b/>
          <w:color w:val="333333"/>
          <w:sz w:val="21"/>
        </w:rPr>
        <w:t>Provisionsabrechnung</w:t>
      </w:r>
      <w:r>
        <w:rPr>
          <w:rFonts w:ascii="Calibri" w:hAnsi="Calibri"/>
          <w:color w:val="333333"/>
          <w:sz w:val="21"/>
        </w:rPr>
        <w:t xml:space="preserve"> und übersendet diese an den Vermittler.</w:t>
      </w:r>
    </w:p>
    <w:p>
      <w:r>
        <w:rPr>
          <w:rFonts w:ascii="Calibri" w:hAnsi="Calibri"/>
          <w:color w:val="333333"/>
          <w:sz w:val="21"/>
        </w:rPr>
        <w:t>(2) Die Provisionsabrechnung enthält: Referenz des vermittelten Kunden, Abrechnungsmonat, Nettoumsatz mit dem Kunden, Provisionsbetrag, Auszahlungsdatum.</w:t>
      </w:r>
    </w:p>
    <w:p>
      <w:r>
        <w:rPr>
          <w:rFonts w:ascii="Calibri" w:hAnsi="Calibri"/>
          <w:color w:val="333333"/>
          <w:sz w:val="21"/>
        </w:rPr>
        <w:t xml:space="preserve">(3) Der Provisionsbetrag wird als </w:t>
      </w:r>
      <w:r>
        <w:rPr>
          <w:rFonts w:ascii="Calibri" w:hAnsi="Calibri"/>
          <w:b/>
          <w:color w:val="333333"/>
          <w:sz w:val="21"/>
        </w:rPr>
        <w:t>Bruttobetrag</w:t>
      </w:r>
      <w:r>
        <w:rPr>
          <w:rFonts w:ascii="Calibri" w:hAnsi="Calibri"/>
          <w:color w:val="333333"/>
          <w:sz w:val="21"/>
        </w:rPr>
        <w:t xml:space="preserve"> ausgezahlt. Der Auftraggeber nimmt </w:t>
      </w:r>
      <w:r>
        <w:rPr>
          <w:rFonts w:ascii="Calibri" w:hAnsi="Calibri"/>
          <w:b/>
          <w:color w:val="333333"/>
          <w:sz w:val="21"/>
        </w:rPr>
        <w:t>keine Steuerabzüge</w:t>
      </w:r>
      <w:r>
        <w:rPr>
          <w:rFonts w:ascii="Calibri" w:hAnsi="Calibri"/>
          <w:color w:val="333333"/>
          <w:sz w:val="21"/>
        </w:rPr>
        <w:t xml:space="preserve"> vor — es handelt sich nicht um Lohn, Gehalt oder eine arbeitnehmerähnliche Vergütung. Der Vermittler ist </w:t>
      </w:r>
      <w:r>
        <w:rPr>
          <w:rFonts w:ascii="Calibri" w:hAnsi="Calibri"/>
          <w:b/>
          <w:color w:val="333333"/>
          <w:sz w:val="21"/>
        </w:rPr>
        <w:t>selbst verantwortlich</w:t>
      </w:r>
      <w:r>
        <w:rPr>
          <w:rFonts w:ascii="Calibri" w:hAnsi="Calibri"/>
          <w:color w:val="333333"/>
          <w:sz w:val="21"/>
        </w:rPr>
        <w:t xml:space="preserve"> für die korrekte steuerliche Behandlung seiner Einkünfte.</w:t>
      </w:r>
    </w:p>
    <w:p>
      <w:r>
        <w:rPr>
          <w:rFonts w:ascii="Calibri" w:hAnsi="Calibri"/>
          <w:color w:val="333333"/>
          <w:sz w:val="21"/>
        </w:rPr>
        <w:t xml:space="preserve">(4) </w:t>
      </w:r>
      <w:r>
        <w:rPr>
          <w:rFonts w:ascii="Calibri" w:hAnsi="Calibri"/>
          <w:b/>
          <w:color w:val="333333"/>
          <w:sz w:val="21"/>
        </w:rPr>
        <w:t>Steuerlicher Hinweis:</w:t>
      </w:r>
      <w:r>
        <w:rPr>
          <w:rFonts w:ascii="Calibri" w:hAnsi="Calibri"/>
          <w:color w:val="333333"/>
          <w:sz w:val="21"/>
        </w:rPr>
        <w:t xml:space="preserve"> Provisionseinnahmen aus gelegentlicher Vermittlung fallen bei Privatpersonen unter </w:t>
      </w:r>
      <w:r>
        <w:rPr>
          <w:rFonts w:ascii="Calibri" w:hAnsi="Calibri"/>
          <w:b/>
          <w:color w:val="333333"/>
          <w:sz w:val="21"/>
        </w:rPr>
        <w:t>§ 22 Nr. 3 EStG</w:t>
      </w:r>
      <w:r>
        <w:rPr>
          <w:rFonts w:ascii="Calibri" w:hAnsi="Calibri"/>
          <w:color w:val="333333"/>
          <w:sz w:val="21"/>
        </w:rPr>
        <w:t xml:space="preserve"> (Einkünfte aus sonstigen Leistungen). Es gilt eine Freigrenze von </w:t>
      </w:r>
      <w:r>
        <w:rPr>
          <w:rFonts w:ascii="Calibri" w:hAnsi="Calibri"/>
          <w:b/>
          <w:color w:val="333333"/>
          <w:sz w:val="21"/>
        </w:rPr>
        <w:t>256 € pro Kalenderjahr</w:t>
      </w:r>
      <w:r>
        <w:rPr>
          <w:rFonts w:ascii="Calibri" w:hAnsi="Calibri"/>
          <w:color w:val="333333"/>
          <w:sz w:val="21"/>
        </w:rPr>
        <w:t xml:space="preserve"> — bei Überschreitung ist der gesamte Betrag einkommensteuerpflichtig. Die Einkünfte sind in der </w:t>
      </w:r>
      <w:r>
        <w:rPr>
          <w:rFonts w:ascii="Calibri" w:hAnsi="Calibri"/>
          <w:b/>
          <w:color w:val="333333"/>
          <w:sz w:val="21"/>
        </w:rPr>
        <w:t>Anlage SO</w:t>
      </w:r>
      <w:r>
        <w:rPr>
          <w:rFonts w:ascii="Calibri" w:hAnsi="Calibri"/>
          <w:color w:val="333333"/>
          <w:sz w:val="21"/>
        </w:rPr>
        <w:t xml:space="preserve"> der Einkommensteuererklärung zu erklären. Umsatzsteuer fällt bei gelegentlicher Vermittlung durch Privatpersonen nicht an.</w:t>
      </w:r>
    </w:p>
    <w:p>
      <w:r>
        <w:rPr>
          <w:rFonts w:ascii="Calibri" w:hAnsi="Calibri"/>
          <w:color w:val="333333"/>
          <w:sz w:val="21"/>
        </w:rPr>
        <w:t xml:space="preserve">(5) Die Auszahlung erfolgt innerhalb von </w:t>
      </w:r>
      <w:r>
        <w:rPr>
          <w:rFonts w:ascii="Calibri" w:hAnsi="Calibri"/>
          <w:b/>
          <w:color w:val="333333"/>
          <w:sz w:val="21"/>
        </w:rPr>
        <w:t>7 Werktagen</w:t>
      </w:r>
      <w:r>
        <w:rPr>
          <w:rFonts w:ascii="Calibri" w:hAnsi="Calibri"/>
          <w:color w:val="333333"/>
          <w:sz w:val="21"/>
        </w:rPr>
        <w:t xml:space="preserve"> nach Eingang der jeweiligen Kundenzahlung auf folgendes Konto:</w:t>
      </w:r>
    </w:p>
    <w:p>
      <w:r>
        <w:rPr>
          <w:rFonts w:ascii="Calibri" w:hAnsi="Calibri"/>
          <w:color w:val="333333"/>
          <w:sz w:val="21"/>
        </w:rPr>
        <w:t>Kontoinhaber: `[NAME]`</w:t>
      </w:r>
    </w:p>
    <w:p>
      <w:r>
        <w:rPr>
          <w:rFonts w:ascii="Calibri" w:hAnsi="Calibri"/>
          <w:color w:val="333333"/>
          <w:sz w:val="21"/>
        </w:rPr>
        <w:t>IBAN: `[IBAN]`</w:t>
      </w:r>
    </w:p>
    <w:p>
      <w:r>
        <w:rPr>
          <w:rFonts w:ascii="Calibri" w:hAnsi="Calibri"/>
          <w:color w:val="333333"/>
          <w:sz w:val="21"/>
        </w:rPr>
        <w:t>BIC: `[BIC]`</w:t>
      </w:r>
    </w:p>
    <w:p>
      <w:r>
        <w:rPr>
          <w:rFonts w:ascii="Calibri" w:hAnsi="Calibri"/>
          <w:color w:val="333333"/>
          <w:sz w:val="21"/>
        </w:rPr>
        <w:t>Bank: `[BANK]`</w:t>
      </w:r>
    </w:p>
    <w:p>
      <w:r>
        <w:rPr>
          <w:rFonts w:ascii="Calibri" w:hAnsi="Calibri"/>
          <w:color w:val="333333"/>
          <w:sz w:val="21"/>
        </w:rPr>
        <w:t>Alternativ per PayPal an: `[PAYPAL-ADRESSE]` *(sofern gewünscht — andernfalls streichen)*</w:t>
      </w:r>
    </w:p>
    <w:p>
      <w:pPr>
        <w:pStyle w:val="Heading3"/>
      </w:pPr>
      <w:r>
        <w:t>Variante B — Vermittler ist Gewerbetreibender / Unternehmer</w:t>
      </w:r>
    </w:p>
    <w:p>
      <w:r>
        <w:rPr>
          <w:i/>
          <w:color w:val="888888"/>
          <w:sz w:val="18"/>
        </w:rPr>
        <w:t>(Diese Variante gilt, wenn der Vermittler ein Gewerbe betreibt, freiberuflich tätig ist oder als juristische Person handelt.)</w:t>
      </w:r>
    </w:p>
    <w:p>
      <w:r>
        <w:rPr>
          <w:rFonts w:ascii="Calibri" w:hAnsi="Calibri"/>
          <w:color w:val="333333"/>
          <w:sz w:val="21"/>
        </w:rPr>
        <w:t xml:space="preserve">(1) Der Vermittler stellt dem Auftraggeber nach Eingang jeder provisionspflichtigen Kundenzahlung eine </w:t>
      </w:r>
      <w:r>
        <w:rPr>
          <w:rFonts w:ascii="Calibri" w:hAnsi="Calibri"/>
          <w:b/>
          <w:color w:val="333333"/>
          <w:sz w:val="21"/>
        </w:rPr>
        <w:t>ordnungsgemäße Rechnung gemäß § 14 UStG</w:t>
      </w:r>
      <w:r>
        <w:rPr>
          <w:rFonts w:ascii="Calibri" w:hAnsi="Calibri"/>
          <w:color w:val="333333"/>
          <w:sz w:val="21"/>
        </w:rPr>
        <w:t>.</w:t>
      </w:r>
    </w:p>
    <w:p>
      <w:r>
        <w:rPr>
          <w:rFonts w:ascii="Calibri" w:hAnsi="Calibri"/>
          <w:color w:val="333333"/>
          <w:sz w:val="21"/>
        </w:rPr>
        <w:t>(2) Die Rechnung enthält mindestens: Name und Anschrift beider Parteien, Steuernummer oder USt-IdNr. des Vermittlers, Rechnungsdatum, fortlaufende Rechnungsnummer, Leistungsbeschreibung (Vermittlung Kunde [Referenz], Monat [X]), Nettobetrag, Umsatzsteuerbetrag (19 % oder Hinweis auf § 19 UStG Kleinunternehmerregelung), Bruttobetrag, Bankverbindung des Vermittlers.</w:t>
      </w:r>
    </w:p>
    <w:p>
      <w:r>
        <w:rPr>
          <w:rFonts w:ascii="Calibri" w:hAnsi="Calibri"/>
          <w:color w:val="333333"/>
          <w:sz w:val="21"/>
        </w:rPr>
        <w:t xml:space="preserve">(3) Der Auftraggeber begleicht die Rechnung innerhalb von </w:t>
      </w:r>
      <w:r>
        <w:rPr>
          <w:rFonts w:ascii="Calibri" w:hAnsi="Calibri"/>
          <w:b/>
          <w:color w:val="333333"/>
          <w:sz w:val="21"/>
        </w:rPr>
        <w:t>7 Werktagen</w:t>
      </w:r>
      <w:r>
        <w:rPr>
          <w:rFonts w:ascii="Calibri" w:hAnsi="Calibri"/>
          <w:color w:val="333333"/>
          <w:sz w:val="21"/>
        </w:rPr>
        <w:t xml:space="preserve"> nach Rechnungseingang.</w:t>
      </w:r>
    </w:p>
    <w:p>
      <w:r>
        <w:rPr>
          <w:rFonts w:ascii="Calibri" w:hAnsi="Calibri"/>
          <w:color w:val="333333"/>
          <w:sz w:val="21"/>
        </w:rPr>
        <w:t>(4) Soweit die Rechnung Umsatzsteuer ausweist, macht der Auftraggeber den Vorsteuerabzug gemäß § 15 UStG geltend.</w:t>
      </w:r>
    </w:p>
    <w:p>
      <w:pPr>
        <w:spacing w:before="120" w:after="120"/>
        <w:jc w:val="center"/>
      </w:pPr>
      <w:r>
        <w:rPr>
          <w:color w:val="CCCCCC"/>
          <w:sz w:val="12"/>
        </w:rPr>
        <w:t>────────────────────────────────────────────────────────────</w:t>
      </w:r>
    </w:p>
    <w:p>
      <w:pPr>
        <w:pStyle w:val="Heading2"/>
      </w:pPr>
      <w:r>
        <w:t>§ 5 — Pflichten des Vermittlers</w:t>
      </w:r>
    </w:p>
    <w:p>
      <w:r>
        <w:rPr>
          <w:rFonts w:ascii="Calibri" w:hAnsi="Calibri"/>
          <w:color w:val="333333"/>
          <w:sz w:val="21"/>
        </w:rPr>
        <w:t>(1) Der Vermittler verpflichtet sich:</w:t>
      </w:r>
    </w:p>
    <w:p>
      <w:pPr>
        <w:pStyle w:val="ListBullet"/>
      </w:pPr>
      <w:r>
        <w:rPr>
          <w:rFonts w:ascii="Calibri" w:hAnsi="Calibri"/>
          <w:color w:val="333333"/>
          <w:sz w:val="21"/>
        </w:rPr>
        <w:t>keine rechtsverbindlichen Erklärungen im Namen des Auftraggebers abzugeben — insbesondere keine Zusagen über Preise, Leistungsumfang, Verfügbarkeit oder Vertragsbedingungen,</w:t>
      </w:r>
    </w:p>
    <w:p>
      <w:pPr>
        <w:pStyle w:val="ListBullet"/>
      </w:pPr>
      <w:r>
        <w:rPr>
          <w:rFonts w:ascii="Calibri" w:hAnsi="Calibri"/>
          <w:color w:val="333333"/>
          <w:sz w:val="21"/>
        </w:rPr>
        <w:t>keine irreführenden oder unwahren Angaben über die Plattform, ihre Funktionen oder Konditionen gegenüber Dritten zu machen,</w:t>
      </w:r>
    </w:p>
    <w:p>
      <w:pPr>
        <w:pStyle w:val="ListBullet"/>
      </w:pPr>
      <w:r>
        <w:rPr>
          <w:rFonts w:ascii="Calibri" w:hAnsi="Calibri"/>
          <w:color w:val="333333"/>
          <w:sz w:val="21"/>
        </w:rPr>
        <w:t>keine personenbezogenen Daten Dritter ohne deren Kenntnis oder Einwilligung an den Auftraggeber weiterzugeben (Art. 6 DSGVO),</w:t>
      </w:r>
    </w:p>
    <w:p>
      <w:pPr>
        <w:pStyle w:val="ListBullet"/>
      </w:pPr>
      <w:r>
        <w:rPr>
          <w:rFonts w:ascii="Calibri" w:hAnsi="Calibri"/>
          <w:color w:val="333333"/>
          <w:sz w:val="21"/>
        </w:rPr>
        <w:t>den Auftraggeber unverzüglich zu informieren, falls ein nachgewiesener Kontakt bereits anderweitig mit dem Auftraggeber in Verbindung steht.</w:t>
      </w:r>
    </w:p>
    <w:p>
      <w:r>
        <w:rPr>
          <w:rFonts w:ascii="Calibri" w:hAnsi="Calibri"/>
          <w:color w:val="333333"/>
          <w:sz w:val="21"/>
        </w:rPr>
        <w:t>(2) Der Auftraggeber stellt dem Vermittler folgende Materialien zur Verfügung:</w:t>
      </w:r>
    </w:p>
    <w:p>
      <w:pPr>
        <w:pStyle w:val="ListBullet"/>
      </w:pPr>
      <w:r>
        <w:rPr>
          <w:rFonts w:ascii="Calibri" w:hAnsi="Calibri"/>
          <w:color w:val="333333"/>
          <w:sz w:val="21"/>
        </w:rPr>
        <w:t>Demo-Nummer zum Testen und Vorführen</w:t>
      </w:r>
    </w:p>
    <w:p>
      <w:pPr>
        <w:pStyle w:val="ListBullet"/>
      </w:pPr>
      <w:r>
        <w:rPr>
          <w:rFonts w:ascii="Calibri" w:hAnsi="Calibri"/>
          <w:color w:val="333333"/>
          <w:sz w:val="21"/>
        </w:rPr>
        <w:t>Webadresse: sevenlayers.io</w:t>
      </w:r>
    </w:p>
    <w:p>
      <w:pPr>
        <w:pStyle w:val="ListBullet"/>
      </w:pPr>
      <w:r>
        <w:rPr>
          <w:rFonts w:ascii="Calibri" w:hAnsi="Calibri"/>
          <w:color w:val="333333"/>
          <w:sz w:val="21"/>
        </w:rPr>
        <w:t>Pitch-Script zur Weiterleitung (optional, auf Anfrage)</w:t>
      </w:r>
    </w:p>
    <w:p>
      <w:r>
        <w:rPr>
          <w:rFonts w:ascii="Calibri" w:hAnsi="Calibri"/>
          <w:color w:val="333333"/>
          <w:sz w:val="21"/>
        </w:rPr>
        <w:t>(3) Der Vermittler darf diese Materialien ausschließlich im Rahmen der Vermittlung verwenden. Eine anderweitige Nutzung, Veröffentlichung oder Weitergabe bedarf der vorherigen schriftlichen Zustimmung.</w:t>
      </w:r>
    </w:p>
    <w:p>
      <w:pPr>
        <w:spacing w:before="120" w:after="120"/>
        <w:jc w:val="center"/>
      </w:pPr>
      <w:r>
        <w:rPr>
          <w:color w:val="CCCCCC"/>
          <w:sz w:val="12"/>
        </w:rPr>
        <w:t>────────────────────────────────────────────────────────────</w:t>
      </w:r>
    </w:p>
    <w:p>
      <w:pPr>
        <w:pStyle w:val="Heading2"/>
      </w:pPr>
      <w:r>
        <w:t>§ 6 — Vorkenntnis und Zuordnung</w:t>
      </w:r>
    </w:p>
    <w:p>
      <w:r>
        <w:rPr>
          <w:rFonts w:ascii="Calibri" w:hAnsi="Calibri"/>
          <w:color w:val="333333"/>
          <w:sz w:val="21"/>
        </w:rPr>
        <w:t>(1) Ein Provisionsanspruch besteht nicht, wenn der Auftraggeber den vermittelten Kontakt zum Zeitpunkt der Vermittlung bereits kannte oder aktiv bearbeitete (Vorkenntnis-Einwand gemäß § 2 Abs. 4).</w:t>
      </w:r>
    </w:p>
    <w:p>
      <w:r>
        <w:rPr>
          <w:rFonts w:ascii="Calibri" w:hAnsi="Calibri"/>
          <w:color w:val="333333"/>
          <w:sz w:val="21"/>
        </w:rPr>
        <w:t>(2) Der Auftraggeber ist verpflichtet, den Vermittler unverzüglich und transparent darüber zu informieren, wenn eine Vorkenntnis besteht.</w:t>
      </w:r>
    </w:p>
    <w:p>
      <w:r>
        <w:rPr>
          <w:rFonts w:ascii="Calibri" w:hAnsi="Calibri"/>
          <w:color w:val="333333"/>
          <w:sz w:val="21"/>
        </w:rPr>
        <w:t xml:space="preserve">(3) </w:t>
      </w:r>
      <w:r>
        <w:rPr>
          <w:rFonts w:ascii="Calibri" w:hAnsi="Calibri"/>
          <w:b/>
          <w:color w:val="333333"/>
          <w:sz w:val="21"/>
        </w:rPr>
        <w:t>Keine parallele Provisionspflicht:</w:t>
      </w:r>
      <w:r>
        <w:rPr>
          <w:rFonts w:ascii="Calibri" w:hAnsi="Calibri"/>
          <w:color w:val="333333"/>
          <w:sz w:val="21"/>
        </w:rPr>
        <w:t xml:space="preserve"> Für einen bestimmten Kunden kann nur ein Vermittler provisionsberechtigt sein. Eine parallele oder aufgeteilte Provisionspflicht gegenüber mehreren Vermittlern für denselben Kunden ist ausgeschlossen.</w:t>
      </w:r>
    </w:p>
    <w:p>
      <w:pPr>
        <w:spacing w:before="120" w:after="120"/>
        <w:jc w:val="center"/>
      </w:pPr>
      <w:r>
        <w:rPr>
          <w:color w:val="CCCCCC"/>
          <w:sz w:val="12"/>
        </w:rPr>
        <w:t>────────────────────────────────────────────────────────────</w:t>
      </w:r>
    </w:p>
    <w:p>
      <w:pPr>
        <w:pStyle w:val="Heading2"/>
      </w:pPr>
      <w:r>
        <w:t>§ 7 — Laufzeit und Kündigung</w:t>
      </w:r>
    </w:p>
    <w:p>
      <w:r>
        <w:rPr>
          <w:rFonts w:ascii="Calibri" w:hAnsi="Calibri"/>
          <w:color w:val="333333"/>
          <w:sz w:val="21"/>
        </w:rPr>
        <w:t xml:space="preserve">(1) Diese Vereinbarung tritt mit Unterzeichnung beider Parteien in Kraft und gilt </w:t>
      </w:r>
      <w:r>
        <w:rPr>
          <w:rFonts w:ascii="Calibri" w:hAnsi="Calibri"/>
          <w:b/>
          <w:color w:val="333333"/>
          <w:sz w:val="21"/>
        </w:rPr>
        <w:t>unbefristet</w:t>
      </w:r>
      <w:r>
        <w:rPr>
          <w:rFonts w:ascii="Calibri" w:hAnsi="Calibri"/>
          <w:color w:val="333333"/>
          <w:sz w:val="21"/>
        </w:rPr>
        <w:t>.</w:t>
      </w:r>
    </w:p>
    <w:p>
      <w:r>
        <w:rPr>
          <w:rFonts w:ascii="Calibri" w:hAnsi="Calibri"/>
          <w:color w:val="333333"/>
          <w:sz w:val="21"/>
        </w:rPr>
        <w:t xml:space="preserve">(2) Beide Parteien können die Vereinbarung jederzeit mit einer Frist von </w:t>
      </w:r>
      <w:r>
        <w:rPr>
          <w:rFonts w:ascii="Calibri" w:hAnsi="Calibri"/>
          <w:b/>
          <w:color w:val="333333"/>
          <w:sz w:val="21"/>
        </w:rPr>
        <w:t>14 Tagen</w:t>
      </w:r>
      <w:r>
        <w:rPr>
          <w:rFonts w:ascii="Calibri" w:hAnsi="Calibri"/>
          <w:color w:val="333333"/>
          <w:sz w:val="21"/>
        </w:rPr>
        <w:t xml:space="preserve"> in Textform kündigen (E-Mail genügt).</w:t>
      </w:r>
    </w:p>
    <w:p>
      <w:r>
        <w:rPr>
          <w:rFonts w:ascii="Calibri" w:hAnsi="Calibri"/>
          <w:color w:val="333333"/>
          <w:sz w:val="21"/>
        </w:rPr>
        <w:t>(3) Bereits entstandene Provisionsansprüche — d. h. der Nachweis wurde vor Wirksamkeit der Kündigung erbracht und der Kunde hat vor oder nach Kündigung einen Vertrag abgeschlossen — bleiben von der Kündigung unberührt und werden gemäß § 3 und § 4 abgerechnet.</w:t>
      </w:r>
    </w:p>
    <w:p>
      <w:r>
        <w:rPr>
          <w:rFonts w:ascii="Calibri" w:hAnsi="Calibri"/>
          <w:color w:val="333333"/>
          <w:sz w:val="21"/>
        </w:rPr>
        <w:t xml:space="preserve">(4) Der Auftraggeber behält sich vor, die Provisionssätze und -bedingungen für </w:t>
      </w:r>
      <w:r>
        <w:rPr>
          <w:rFonts w:ascii="Calibri" w:hAnsi="Calibri"/>
          <w:b/>
          <w:color w:val="333333"/>
          <w:sz w:val="21"/>
        </w:rPr>
        <w:t>zukünftige Vermittlungen</w:t>
      </w:r>
      <w:r>
        <w:rPr>
          <w:rFonts w:ascii="Calibri" w:hAnsi="Calibri"/>
          <w:color w:val="333333"/>
          <w:sz w:val="21"/>
        </w:rPr>
        <w:t xml:space="preserve"> mit einer Ankündigungsfrist von 30 Tagen in Textform anzupassen. Für zum Zeitpunkt der Änderung bereits nachgewiesene und noch laufende Kunden gelten die bei Nachweis gültigen Konditionen.</w:t>
      </w:r>
    </w:p>
    <w:p>
      <w:r>
        <w:rPr>
          <w:rFonts w:ascii="Calibri" w:hAnsi="Calibri"/>
          <w:color w:val="333333"/>
          <w:sz w:val="21"/>
        </w:rPr>
        <w:t xml:space="preserve">(5) </w:t>
      </w:r>
      <w:r>
        <w:rPr>
          <w:rFonts w:ascii="Calibri" w:hAnsi="Calibri"/>
          <w:b/>
          <w:color w:val="333333"/>
          <w:sz w:val="21"/>
        </w:rPr>
        <w:t>Kein Ausgleichsanspruch.</w:t>
      </w:r>
      <w:r>
        <w:rPr>
          <w:rFonts w:ascii="Calibri" w:hAnsi="Calibri"/>
          <w:color w:val="333333"/>
          <w:sz w:val="21"/>
        </w:rPr>
        <w:t xml:space="preserve"> Bei Beendigung dieser Vereinbarung besteht kein Ausgleichsanspruch des Vermittlers — weder nach § 89b HGB (mangels Handelsvertretereigenschaft, vgl. § 1 Abs. 3) noch aus einem anderen Rechtsgrund.</w:t>
      </w:r>
    </w:p>
    <w:p>
      <w:pPr>
        <w:spacing w:before="120" w:after="120"/>
        <w:jc w:val="center"/>
      </w:pPr>
      <w:r>
        <w:rPr>
          <w:color w:val="CCCCCC"/>
          <w:sz w:val="12"/>
        </w:rPr>
        <w:t>────────────────────────────────────────────────────────────</w:t>
      </w:r>
    </w:p>
    <w:p>
      <w:pPr>
        <w:pStyle w:val="Heading2"/>
      </w:pPr>
      <w:r>
        <w:t>§ 8 — Vertraulichkeit</w:t>
      </w:r>
    </w:p>
    <w:p>
      <w:r>
        <w:rPr>
          <w:rFonts w:ascii="Calibri" w:hAnsi="Calibri"/>
          <w:color w:val="333333"/>
          <w:sz w:val="21"/>
        </w:rPr>
        <w:t>(1) Beide Parteien behandeln die Inhalte dieser Vereinbarung — insbesondere Provisionssätze, Kundendaten und geschäftliche Interna — vertraulich.</w:t>
      </w:r>
    </w:p>
    <w:p>
      <w:r>
        <w:rPr>
          <w:rFonts w:ascii="Calibri" w:hAnsi="Calibri"/>
          <w:color w:val="333333"/>
          <w:sz w:val="21"/>
        </w:rPr>
        <w:t>(2) Der Vermittler darf den Auftraggeber bzw. die Marke sevenlayers als Kooperationspartner erwähnen. Die konkreten Provisionskonditionen sind nicht zur Veröffentlichung bestimmt.</w:t>
      </w:r>
    </w:p>
    <w:p>
      <w:r>
        <w:rPr>
          <w:rFonts w:ascii="Calibri" w:hAnsi="Calibri"/>
          <w:color w:val="333333"/>
          <w:sz w:val="21"/>
        </w:rPr>
        <w:t>(3) Die Vertraulichkeitspflicht gilt über die Beendigung der Vereinbarung hinaus fort.</w:t>
      </w:r>
    </w:p>
    <w:p>
      <w:pPr>
        <w:spacing w:before="120" w:after="120"/>
        <w:jc w:val="center"/>
      </w:pPr>
      <w:r>
        <w:rPr>
          <w:color w:val="CCCCCC"/>
          <w:sz w:val="12"/>
        </w:rPr>
        <w:t>────────────────────────────────────────────────────────────</w:t>
      </w:r>
    </w:p>
    <w:p>
      <w:pPr>
        <w:pStyle w:val="Heading2"/>
      </w:pPr>
      <w:r>
        <w:t>§ 9 — Datenschutz</w:t>
      </w:r>
    </w:p>
    <w:p>
      <w:r>
        <w:rPr>
          <w:rFonts w:ascii="Calibri" w:hAnsi="Calibri"/>
          <w:color w:val="333333"/>
          <w:sz w:val="21"/>
        </w:rPr>
        <w:t>(1) Soweit der Vermittler im Rahmen seiner Tätigkeit personenbezogene Daten Dritter (Name, Telefonnummer, E-Mail-Adresse potenzieller Kunden) an den Auftraggeber weitergibt, stellt er sicher, dass die betroffene Person über die Weitergabe informiert ist oder die Weitergabe auf Grundlage eines berechtigten Interesses (Art. 6 Abs. 1 lit. f DSGVO) erfolgt.</w:t>
      </w:r>
    </w:p>
    <w:p>
      <w:r>
        <w:rPr>
          <w:rFonts w:ascii="Calibri" w:hAnsi="Calibri"/>
          <w:color w:val="333333"/>
          <w:sz w:val="21"/>
        </w:rPr>
        <w:t>(2) Der Auftraggeber verarbeitet die übermittelten Daten ausschließlich zum Zweck der Kontaktaufnahme und Geschäftsanbahnung und informiert die betroffene Person bei Erstkontakt über die Datenverarbeitung.</w:t>
      </w:r>
    </w:p>
    <w:p>
      <w:pPr>
        <w:spacing w:before="120" w:after="120"/>
        <w:jc w:val="center"/>
      </w:pPr>
      <w:r>
        <w:rPr>
          <w:color w:val="CCCCCC"/>
          <w:sz w:val="12"/>
        </w:rPr>
        <w:t>────────────────────────────────────────────────────────────</w:t>
      </w:r>
    </w:p>
    <w:p>
      <w:pPr>
        <w:pStyle w:val="Heading2"/>
      </w:pPr>
      <w:r>
        <w:t>§ 10 — Haftung</w:t>
      </w:r>
    </w:p>
    <w:p>
      <w:r>
        <w:rPr>
          <w:rFonts w:ascii="Calibri" w:hAnsi="Calibri"/>
          <w:color w:val="333333"/>
          <w:sz w:val="21"/>
        </w:rPr>
        <w:t>(1) Der Auftraggeber haftet nicht für den wirtschaftlichen Erfolg des Vermittlers. Es besteht kein Anspruch auf ein Mindestprovisionsaufkommen, eine Mindestzahl von Vermittlungsgelegenheiten oder eine bestimmte Abschlussquote.</w:t>
      </w:r>
    </w:p>
    <w:p>
      <w:r>
        <w:rPr>
          <w:rFonts w:ascii="Calibri" w:hAnsi="Calibri"/>
          <w:color w:val="333333"/>
          <w:sz w:val="21"/>
        </w:rPr>
        <w:t>(2) Der Vermittler haftet für Schäden, die durch vorsätzlich oder grob fahrlässig falsche Angaben gegenüber Dritten im Zusammenhang mit dem Auftraggeber oder der Marke sevenlayers entstehen.</w:t>
      </w:r>
    </w:p>
    <w:p>
      <w:r>
        <w:rPr>
          <w:rFonts w:ascii="Calibri" w:hAnsi="Calibri"/>
          <w:color w:val="333333"/>
          <w:sz w:val="21"/>
        </w:rPr>
        <w:t>(3) Eine weitergehende Haftung des Vermittlers für den Nichtzustandekommen von Verträgen oder das Verhalten nachgewiesener Kontakte besteht nicht.</w:t>
      </w:r>
    </w:p>
    <w:p>
      <w:pPr>
        <w:spacing w:before="120" w:after="120"/>
        <w:jc w:val="center"/>
      </w:pPr>
      <w:r>
        <w:rPr>
          <w:color w:val="CCCCCC"/>
          <w:sz w:val="12"/>
        </w:rPr>
        <w:t>────────────────────────────────────────────────────────────</w:t>
      </w:r>
    </w:p>
    <w:p>
      <w:pPr>
        <w:pStyle w:val="Heading2"/>
      </w:pPr>
      <w:r>
        <w:t>§ 11 — Schlussbestimmungen</w:t>
      </w:r>
    </w:p>
    <w:p>
      <w:r>
        <w:rPr>
          <w:rFonts w:ascii="Calibri" w:hAnsi="Calibri"/>
          <w:color w:val="333333"/>
          <w:sz w:val="21"/>
        </w:rPr>
        <w:t>(1) Es gilt das Recht der Bundesrepublik Deutschland.</w:t>
      </w:r>
    </w:p>
    <w:p>
      <w:r>
        <w:rPr>
          <w:rFonts w:ascii="Calibri" w:hAnsi="Calibri"/>
          <w:color w:val="333333"/>
          <w:sz w:val="21"/>
        </w:rPr>
        <w:t>(2) Gerichtsstand ist Pasewalk, sofern der Vermittler Kaufmann, juristische Person des öffentlichen Rechts oder öffentlich-rechtliches Sondervermögen ist. Im Übrigen gelten die gesetzlichen Gerichtsstandsregelungen.</w:t>
      </w:r>
    </w:p>
    <w:p>
      <w:r>
        <w:rPr>
          <w:rFonts w:ascii="Calibri" w:hAnsi="Calibri"/>
          <w:color w:val="333333"/>
          <w:sz w:val="21"/>
        </w:rPr>
        <w:t>(3) Änderungen und Ergänzungen dieser Vereinbarung bedürfen der Textform (E-Mail genügt).</w:t>
      </w:r>
    </w:p>
    <w:p>
      <w:r>
        <w:rPr>
          <w:rFonts w:ascii="Calibri" w:hAnsi="Calibri"/>
          <w:color w:val="333333"/>
          <w:sz w:val="21"/>
        </w:rPr>
        <w:t>(4) Sollte eine Bestimmung dieser Vereinbarung ganz oder teilweise unwirksam oder undurchführbar sein, so wird die Wirksamkeit der übrigen Bestimmungen hiervon nicht berührt. Die Parteien verpflichten sich, die unwirksame Bestimmung durch eine wirksame Regelung zu ersetzen, die dem wirtschaftlichen Zweck der unwirksamen Bestimmung möglichst nahekommt (salvatorische Klausel).</w:t>
      </w:r>
    </w:p>
    <w:p>
      <w:r>
        <w:rPr>
          <w:rFonts w:ascii="Calibri" w:hAnsi="Calibri"/>
          <w:color w:val="333333"/>
          <w:sz w:val="21"/>
        </w:rPr>
        <w:t>(5) Mündliche Nebenabreden bestehen nicht.</w:t>
      </w:r>
    </w:p>
    <w:p>
      <w:pPr>
        <w:spacing w:before="120" w:after="120"/>
        <w:jc w:val="center"/>
      </w:pPr>
      <w:r>
        <w:rPr>
          <w:color w:val="CCCCCC"/>
          <w:sz w:val="12"/>
        </w:rPr>
        <w:t>────────────────────────────────────────────────────────────</w:t>
      </w:r>
    </w:p>
    <w:p>
      <w:pPr>
        <w:pStyle w:val="Heading2"/>
      </w:pPr>
      <w:r>
        <w:t>Unterschriften</w:t>
      </w:r>
    </w:p>
    <w:p>
      <w:r>
        <w:rPr>
          <w:rFonts w:ascii="Calibri" w:hAnsi="Calibri"/>
          <w:color w:val="333333"/>
          <w:sz w:val="21"/>
        </w:rPr>
        <w:t>&amp;nbsp;</w:t>
      </w:r>
    </w:p>
    <w:p>
      <w:r>
        <w:rPr>
          <w:rFonts w:ascii="Calibri" w:hAnsi="Calibri"/>
          <w:b/>
          <w:color w:val="333333"/>
          <w:sz w:val="21"/>
        </w:rPr>
        <w:t>Auftraggeber — Vound Brand UG (haftungsbeschränkt)</w:t>
      </w:r>
    </w:p>
    <w:p>
      <w:r>
        <w:rPr>
          <w:rFonts w:ascii="Calibri" w:hAnsi="Calibri"/>
          <w:color w:val="333333"/>
          <w:sz w:val="21"/>
        </w:rPr>
        <w:t>Ort, Datum: \_\_\_\_\_\_\_\_\_\_\_\_\_\_\_\_\_\_\_\_\_\_\_\_\_\_\_\_\_</w:t>
      </w:r>
    </w:p>
    <w:p>
      <w:r>
        <w:rPr>
          <w:rFonts w:ascii="Calibri" w:hAnsi="Calibri"/>
          <w:color w:val="333333"/>
          <w:sz w:val="21"/>
        </w:rPr>
        <w:t>Remington Splettstoesser (Geschäftsführer): \_\_\_\_\_\_\_\_\_\_\_\_\_\_\_\_\_\_\_\_\_\_\_\_\_\_\_\_\_</w:t>
      </w:r>
    </w:p>
    <w:p>
      <w:r>
        <w:rPr>
          <w:rFonts w:ascii="Calibri" w:hAnsi="Calibri"/>
          <w:color w:val="333333"/>
          <w:sz w:val="21"/>
        </w:rPr>
        <w:t>&amp;nbsp;</w:t>
      </w:r>
    </w:p>
    <w:p>
      <w:r>
        <w:rPr>
          <w:rFonts w:ascii="Calibri" w:hAnsi="Calibri"/>
          <w:b/>
          <w:color w:val="333333"/>
          <w:sz w:val="21"/>
        </w:rPr>
        <w:t>Vermittler</w:t>
      </w:r>
    </w:p>
    <w:p>
      <w:r>
        <w:rPr>
          <w:rFonts w:ascii="Calibri" w:hAnsi="Calibri"/>
          <w:color w:val="333333"/>
          <w:sz w:val="21"/>
        </w:rPr>
        <w:t>Ort, Datum: \_\_\_\_\_\_\_\_\_\_\_\_\_\_\_\_\_\_\_\_\_\_\_\_\_\_\_\_\_</w:t>
      </w:r>
    </w:p>
    <w:p>
      <w:r>
        <w:rPr>
          <w:rFonts w:ascii="Calibri" w:hAnsi="Calibri"/>
          <w:color w:val="333333"/>
          <w:sz w:val="21"/>
        </w:rPr>
        <w:t>`[NAME]`: \_\_\_\_\_\_\_\_\_\_\_\_\_\_\_\_\_\_\_\_\_\_\_\_\_\_\_\_\_</w:t>
      </w:r>
    </w:p>
    <w:p>
      <w:pPr>
        <w:spacing w:before="120" w:after="120"/>
        <w:jc w:val="center"/>
      </w:pPr>
      <w:r>
        <w:rPr>
          <w:color w:val="CCCCCC"/>
          <w:sz w:val="12"/>
        </w:rPr>
        <w:t>────────────────────────────────────────────────────────────</w:t>
      </w:r>
    </w:p>
    <w:p>
      <w:r>
        <w:rPr>
          <w:rFonts w:ascii="Calibri" w:hAnsi="Calibri"/>
          <w:color w:val="333333"/>
          <w:sz w:val="21"/>
        </w:rPr>
        <w:t>--- VEREINBARUNG ENDE ---</w:t>
      </w:r>
    </w:p>
    <w:p>
      <w:pPr>
        <w:spacing w:before="120" w:after="120"/>
        <w:jc w:val="center"/>
      </w:pPr>
      <w:r>
        <w:rPr>
          <w:color w:val="CCCCCC"/>
          <w:sz w:val="12"/>
        </w:rPr>
        <w:t>────────────────────────────────────────────────────────────</w:t>
      </w:r>
    </w:p>
    <w:p>
      <w:pPr>
        <w:pStyle w:val="Heading2"/>
      </w:pPr>
      <w:r>
        <w:t>Interne Anmerkungen (nicht Teil der Vereinbarung)</w:t>
      </w:r>
    </w:p>
    <w:p>
      <w:pPr>
        <w:pStyle w:val="Heading3"/>
      </w:pPr>
      <w:r>
        <w:t>Checkliste vor Versand</w:t>
      </w:r>
    </w:p>
    <w:p>
      <w:pPr>
        <w:pStyle w:val="ListNumber"/>
      </w:pPr>
      <w:r>
        <w:rPr>
          <w:rFonts w:ascii="Calibri" w:hAnsi="Calibri"/>
          <w:color w:val="333333"/>
          <w:sz w:val="21"/>
        </w:rPr>
        <w:t>Partnerdaten ausfüllen (Name, Adresse, ggf. Steuernummer)</w:t>
      </w:r>
    </w:p>
    <w:p>
      <w:pPr>
        <w:pStyle w:val="ListNumber"/>
      </w:pPr>
      <w:r>
        <w:rPr>
          <w:rFonts w:ascii="Calibri" w:hAnsi="Calibri"/>
          <w:b/>
          <w:color w:val="333333"/>
          <w:sz w:val="21"/>
        </w:rPr>
        <w:t>Variante A oder B in § 4 wählen</w:t>
      </w:r>
      <w:r>
        <w:rPr>
          <w:rFonts w:ascii="Calibri" w:hAnsi="Calibri"/>
          <w:color w:val="333333"/>
          <w:sz w:val="21"/>
        </w:rPr>
        <w:t>, die andere komplett streichen</w:t>
      </w:r>
    </w:p>
    <w:p>
      <w:pPr>
        <w:pStyle w:val="ListNumber"/>
      </w:pPr>
      <w:r>
        <w:rPr>
          <w:rFonts w:ascii="Calibri" w:hAnsi="Calibri"/>
          <w:color w:val="333333"/>
          <w:sz w:val="21"/>
        </w:rPr>
        <w:t>Bankverbindung / PayPal eintragen</w:t>
      </w:r>
    </w:p>
    <w:p>
      <w:pPr>
        <w:pStyle w:val="ListNumber"/>
      </w:pPr>
      <w:r>
        <w:rPr>
          <w:rFonts w:ascii="Calibri" w:hAnsi="Calibri"/>
          <w:color w:val="333333"/>
          <w:sz w:val="21"/>
        </w:rPr>
        <w:t>Als PDF exportieren</w:t>
      </w:r>
    </w:p>
    <w:p>
      <w:pPr>
        <w:pStyle w:val="ListNumber"/>
      </w:pPr>
      <w:r>
        <w:rPr>
          <w:rFonts w:ascii="Calibri" w:hAnsi="Calibri"/>
          <w:color w:val="333333"/>
          <w:sz w:val="21"/>
        </w:rPr>
        <w:t>Per E-Mail senden:</w:t>
      </w:r>
    </w:p>
    <w:p>
      <w:pPr>
        <w:spacing w:before="120" w:after="120"/>
        <w:ind w:left="567"/>
      </w:pPr>
      <w:r>
        <w:rPr>
          <w:rFonts w:ascii="Calibri" w:hAnsi="Calibri"/>
          <w:i/>
          <w:color w:val="555555"/>
          <w:sz w:val="20"/>
        </w:rPr>
        <w:t>„Anbei die Vermittlungsvereinbarung wie besprochen. Kurz durchlesen, unterschreiben, zurückschicken — gerne auch als Scan oder Foto. Bei Fragen meld dich einfach."</w:t>
      </w:r>
    </w:p>
    <w:p>
      <w:pPr>
        <w:pStyle w:val="ListNumber"/>
      </w:pPr>
      <w:r>
        <w:rPr>
          <w:rFonts w:ascii="Calibri" w:hAnsi="Calibri"/>
          <w:color w:val="333333"/>
          <w:sz w:val="21"/>
        </w:rPr>
        <w:t>Unterschriebene Kopie ablegen</w:t>
      </w:r>
    </w:p>
    <w:p>
      <w:pPr>
        <w:pStyle w:val="Heading3"/>
      </w:pPr>
      <w:r>
        <w:t>Wann dieses Dokument verwenden</w:t>
      </w:r>
    </w:p>
    <w:p>
      <w:pPr>
        <w:pStyle w:val="ListBullet"/>
      </w:pPr>
      <w:r>
        <w:rPr>
          <w:rFonts w:ascii="Calibri" w:hAnsi="Calibri"/>
          <w:color w:val="333333"/>
          <w:sz w:val="21"/>
        </w:rPr>
        <w:t>Jemand fragt explizit nach einem Vertrag oder einer schriftlichen Vereinbarung</w:t>
      </w:r>
    </w:p>
    <w:p>
      <w:pPr>
        <w:pStyle w:val="ListBullet"/>
      </w:pPr>
      <w:r>
        <w:rPr>
          <w:rFonts w:ascii="Calibri" w:hAnsi="Calibri"/>
          <w:color w:val="333333"/>
          <w:sz w:val="21"/>
        </w:rPr>
        <w:t>Ein aktiver Seller bringt mehrere Leads und will Klarheit</w:t>
      </w:r>
    </w:p>
    <w:p>
      <w:pPr>
        <w:pStyle w:val="ListBullet"/>
      </w:pPr>
      <w:r>
        <w:rPr>
          <w:rFonts w:ascii="Calibri" w:hAnsi="Calibri"/>
          <w:color w:val="333333"/>
          <w:sz w:val="21"/>
        </w:rPr>
        <w:t>Du willst professionell wirken, weil der Partner selbst unternehmerisch denkt</w:t>
      </w:r>
    </w:p>
    <w:p>
      <w:pPr>
        <w:pStyle w:val="Heading3"/>
      </w:pPr>
      <w:r>
        <w:t>Wann NICHT verwenden</w:t>
      </w:r>
    </w:p>
    <w:p>
      <w:pPr>
        <w:pStyle w:val="ListBullet"/>
      </w:pPr>
      <w:r>
        <w:rPr>
          <w:rFonts w:ascii="Calibri" w:hAnsi="Calibri"/>
          <w:color w:val="333333"/>
          <w:sz w:val="21"/>
        </w:rPr>
        <w:t>Kumpel schickt dir einen Namen per WhatsApp → WhatsApp-Bestätigung reicht (siehe `07_REFERRAL_COMMISSION.md`)</w:t>
      </w:r>
    </w:p>
    <w:p>
      <w:pPr>
        <w:pStyle w:val="ListBullet"/>
      </w:pPr>
      <w:r>
        <w:rPr>
          <w:rFonts w:ascii="Calibri" w:hAnsi="Calibri"/>
          <w:color w:val="333333"/>
          <w:sz w:val="21"/>
        </w:rPr>
        <w:t>Einmaliger Tipp ohne weitere Erwartung → formloses Danke + Zahlung bei Erfolg</w:t>
      </w:r>
    </w:p>
    <w:p>
      <w:pPr>
        <w:pStyle w:val="ListBullet"/>
      </w:pPr>
      <w:r>
        <w:rPr>
          <w:rFonts w:ascii="Calibri" w:hAnsi="Calibri"/>
          <w:color w:val="333333"/>
          <w:sz w:val="21"/>
        </w:rPr>
        <w:t>Jemand fragt beiläufig auf einer BNI-Veranstaltung → erst DM-Script, Vereinbarung nur bei Nachfrage</w:t>
      </w:r>
    </w:p>
    <w:p>
      <w:pPr>
        <w:pStyle w:val="Heading3"/>
      </w:pPr>
      <w:r>
        <w:t>Anwaltliches Feedback (25.03.2026) — Zusammenfassung</w:t>
      </w:r>
    </w:p>
    <w:p>
      <w:r>
        <w:rPr>
          <w:rFonts w:ascii="Calibri" w:hAnsi="Calibri"/>
          <w:color w:val="333333"/>
          <w:sz w:val="21"/>
        </w:rPr>
        <w:t>Telefonat mit Rechtsberater. Kernpunkte: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2d2d44" w:val="clear"/>
          </w:tcPr>
          <w:p>
            <w:pPr>
              <w:jc w:val="left"/>
            </w:pPr>
            <w:r/>
            <w:r>
              <w:rPr>
                <w:rFonts w:ascii="Calibri" w:hAnsi="Calibri"/>
                <w:b/>
                <w:color w:val="FFFFFF"/>
                <w:sz w:val="19"/>
              </w:rPr>
              <w:t>#</w:t>
            </w:r>
          </w:p>
        </w:tc>
        <w:tc>
          <w:tcPr>
            <w:tcW w:type="dxa" w:w="2351"/>
            <w:shd w:fill="2d2d44" w:val="clear"/>
          </w:tcPr>
          <w:p>
            <w:pPr>
              <w:jc w:val="left"/>
            </w:pPr>
            <w:r/>
            <w:r>
              <w:rPr>
                <w:rFonts w:ascii="Calibri" w:hAnsi="Calibri"/>
                <w:b/>
                <w:color w:val="FFFFFF"/>
                <w:sz w:val="19"/>
              </w:rPr>
              <w:t>Problem</w:t>
            </w:r>
          </w:p>
        </w:tc>
        <w:tc>
          <w:tcPr>
            <w:tcW w:type="dxa" w:w="2351"/>
            <w:shd w:fill="2d2d44" w:val="clear"/>
          </w:tcPr>
          <w:p>
            <w:pPr>
              <w:jc w:val="left"/>
            </w:pPr>
            <w:r/>
            <w:r>
              <w:rPr>
                <w:rFonts w:ascii="Calibri" w:hAnsi="Calibri"/>
                <w:b/>
                <w:color w:val="FFFFFF"/>
                <w:sz w:val="19"/>
              </w:rPr>
              <w:t>Status</w:t>
            </w:r>
          </w:p>
        </w:tc>
        <w:tc>
          <w:tcPr>
            <w:tcW w:type="dxa" w:w="2351"/>
            <w:shd w:fill="2d2d44" w:val="clear"/>
          </w:tcPr>
          <w:p>
            <w:pPr>
              <w:jc w:val="left"/>
            </w:pPr>
            <w:r/>
            <w:r>
              <w:rPr>
                <w:rFonts w:ascii="Calibri" w:hAnsi="Calibri"/>
                <w:b/>
                <w:color w:val="FFFFFF"/>
                <w:sz w:val="19"/>
              </w:rPr>
              <w:t>Lösung in dieser Version</w:t>
            </w:r>
          </w:p>
        </w:tc>
      </w:tr>
      <w:tr>
        <w:tc>
          <w:tcPr>
            <w:tcW w:type="dxa" w:w="2351"/>
          </w:tcPr>
          <w:p>
            <w:r/>
            <w:r>
              <w:rPr>
                <w:rFonts w:ascii="Calibri" w:hAnsi="Calibri"/>
                <w:color w:val="333333"/>
                <w:sz w:val="19"/>
              </w:rPr>
              <w:t>1</w:t>
            </w:r>
          </w:p>
        </w:tc>
        <w:tc>
          <w:tcPr>
            <w:tcW w:type="dxa" w:w="2351"/>
          </w:tcPr>
          <w:p>
            <w:r/>
            <w:r>
              <w:rPr>
                <w:rFonts w:ascii="Calibri" w:hAnsi="Calibri"/>
                <w:color w:val="333333"/>
                <w:sz w:val="19"/>
              </w:rPr>
              <w:t>Nachweismakler und Vermittlungsmakler wurden vermischt</w:t>
            </w:r>
          </w:p>
        </w:tc>
        <w:tc>
          <w:tcPr>
            <w:tcW w:type="dxa" w:w="2351"/>
          </w:tcPr>
          <w:p>
            <w:r/>
            <w:r>
              <w:rPr>
                <w:rFonts w:ascii="Calibri" w:hAnsi="Calibri"/>
                <w:b/>
                <w:color w:val="333333"/>
                <w:sz w:val="19"/>
              </w:rPr>
              <w:t>Behoben</w:t>
            </w:r>
          </w:p>
        </w:tc>
        <w:tc>
          <w:tcPr>
            <w:tcW w:type="dxa" w:w="2351"/>
          </w:tcPr>
          <w:p>
            <w:r/>
            <w:r>
              <w:rPr>
                <w:rFonts w:ascii="Calibri" w:hAnsi="Calibri"/>
                <w:color w:val="333333"/>
                <w:sz w:val="19"/>
              </w:rPr>
              <w:t>§ 1 Abs. 2–3 definiert jetzt klar Vermittlungsleistung; bloßes Benennen explizit ausgeschlossen</w:t>
            </w:r>
          </w:p>
        </w:tc>
      </w:tr>
      <w:tr>
        <w:tc>
          <w:tcPr>
            <w:tcW w:type="dxa" w:w="2351"/>
            <w:shd w:fill="F5F5F8" w:val="clear"/>
          </w:tcPr>
          <w:p>
            <w:r/>
            <w:r>
              <w:rPr>
                <w:rFonts w:ascii="Calibri" w:hAnsi="Calibri"/>
                <w:color w:val="333333"/>
                <w:sz w:val="19"/>
              </w:rPr>
              <w:t>2</w:t>
            </w:r>
          </w:p>
        </w:tc>
        <w:tc>
          <w:tcPr>
            <w:tcW w:type="dxa" w:w="2351"/>
            <w:shd w:fill="F5F5F8" w:val="clear"/>
          </w:tcPr>
          <w:p>
            <w:r/>
            <w:r>
              <w:rPr>
                <w:rFonts w:ascii="Calibri" w:hAnsi="Calibri"/>
                <w:color w:val="333333"/>
                <w:sz w:val="19"/>
              </w:rPr>
              <w:t>Risiko: jemand sagt „ich habe dir den Namen gesagt" → Provision fällig</w:t>
            </w:r>
          </w:p>
        </w:tc>
        <w:tc>
          <w:tcPr>
            <w:tcW w:type="dxa" w:w="2351"/>
            <w:shd w:fill="F5F5F8" w:val="clear"/>
          </w:tcPr>
          <w:p>
            <w:r/>
            <w:r>
              <w:rPr>
                <w:rFonts w:ascii="Calibri" w:hAnsi="Calibri"/>
                <w:b/>
                <w:color w:val="333333"/>
                <w:sz w:val="19"/>
              </w:rPr>
              <w:t>Behoben</w:t>
            </w:r>
          </w:p>
        </w:tc>
        <w:tc>
          <w:tcPr>
            <w:tcW w:type="dxa" w:w="2351"/>
            <w:shd w:fill="F5F5F8" w:val="clear"/>
          </w:tcPr>
          <w:p>
            <w:r/>
            <w:r>
              <w:rPr>
                <w:rFonts w:ascii="Calibri" w:hAnsi="Calibri"/>
                <w:color w:val="333333"/>
                <w:sz w:val="19"/>
              </w:rPr>
              <w:t>§ 1 Abs. 3 + § 2 Abs. 2(a): aktive Kontaktherstellung erforderlich</w:t>
            </w:r>
          </w:p>
        </w:tc>
      </w:tr>
      <w:tr>
        <w:tc>
          <w:tcPr>
            <w:tcW w:type="dxa" w:w="2351"/>
          </w:tcPr>
          <w:p>
            <w:r/>
            <w:r>
              <w:rPr>
                <w:rFonts w:ascii="Calibri" w:hAnsi="Calibri"/>
                <w:color w:val="333333"/>
                <w:sz w:val="19"/>
              </w:rPr>
              <w:t>3</w:t>
            </w:r>
          </w:p>
        </w:tc>
        <w:tc>
          <w:tcPr>
            <w:tcW w:type="dxa" w:w="2351"/>
          </w:tcPr>
          <w:p>
            <w:r/>
            <w:r>
              <w:rPr>
                <w:rFonts w:ascii="Calibri" w:hAnsi="Calibri"/>
                <w:color w:val="333333"/>
                <w:sz w:val="19"/>
              </w:rPr>
              <w:t>Doppelvermittlungsklausel (alter § 6) war verwirrend und problematisch</w:t>
            </w:r>
          </w:p>
        </w:tc>
        <w:tc>
          <w:tcPr>
            <w:tcW w:type="dxa" w:w="2351"/>
          </w:tcPr>
          <w:p>
            <w:r/>
            <w:r>
              <w:rPr>
                <w:rFonts w:ascii="Calibri" w:hAnsi="Calibri"/>
                <w:b/>
                <w:color w:val="333333"/>
                <w:sz w:val="19"/>
              </w:rPr>
              <w:t>Behoben</w:t>
            </w:r>
          </w:p>
        </w:tc>
        <w:tc>
          <w:tcPr>
            <w:tcW w:type="dxa" w:w="2351"/>
          </w:tcPr>
          <w:p>
            <w:r/>
            <w:r>
              <w:rPr>
                <w:rFonts w:ascii="Calibri" w:hAnsi="Calibri"/>
                <w:color w:val="333333"/>
                <w:sz w:val="19"/>
              </w:rPr>
              <w:t>Neuer § 6 basiert auf Vorkenntnis-Einwand, keine parallele Provision</w:t>
            </w:r>
          </w:p>
        </w:tc>
      </w:tr>
      <w:tr>
        <w:tc>
          <w:tcPr>
            <w:tcW w:type="dxa" w:w="2351"/>
            <w:shd w:fill="F5F5F8" w:val="clear"/>
          </w:tcPr>
          <w:p>
            <w:r/>
            <w:r>
              <w:rPr>
                <w:rFonts w:ascii="Calibri" w:hAnsi="Calibri"/>
                <w:color w:val="333333"/>
                <w:sz w:val="19"/>
              </w:rPr>
              <w:t>4</w:t>
            </w:r>
          </w:p>
        </w:tc>
        <w:tc>
          <w:tcPr>
            <w:tcW w:type="dxa" w:w="2351"/>
            <w:shd w:fill="F5F5F8" w:val="clear"/>
          </w:tcPr>
          <w:p>
            <w:r/>
            <w:r>
              <w:rPr>
                <w:rFonts w:ascii="Calibri" w:hAnsi="Calibri"/>
                <w:color w:val="333333"/>
                <w:sz w:val="19"/>
              </w:rPr>
              <w:t>Vertragsinhalt darf nicht HV-typische Elemente enthalten (Substanz vor Form)</w:t>
            </w:r>
          </w:p>
        </w:tc>
        <w:tc>
          <w:tcPr>
            <w:tcW w:type="dxa" w:w="2351"/>
            <w:shd w:fill="F5F5F8" w:val="clear"/>
          </w:tcPr>
          <w:p>
            <w:r/>
            <w:r>
              <w:rPr>
                <w:rFonts w:ascii="Calibri" w:hAnsi="Calibri"/>
                <w:b/>
                <w:color w:val="333333"/>
                <w:sz w:val="19"/>
              </w:rPr>
              <w:t>Teilweise</w:t>
            </w:r>
          </w:p>
        </w:tc>
        <w:tc>
          <w:tcPr>
            <w:tcW w:type="dxa" w:w="2351"/>
            <w:shd w:fill="F5F5F8" w:val="clear"/>
          </w:tcPr>
          <w:p>
            <w:r/>
            <w:r>
              <w:rPr>
                <w:rFonts w:ascii="Calibri" w:hAnsi="Calibri"/>
                <w:color w:val="333333"/>
                <w:sz w:val="19"/>
              </w:rPr>
              <w:t>HV-Ausschluss nach hinten verschoben (§ 1 Abs. 5), Vertrag als Vermittlungsmaklervertrag aufgebaut</w:t>
            </w:r>
          </w:p>
        </w:tc>
      </w:tr>
      <w:tr>
        <w:tc>
          <w:tcPr>
            <w:tcW w:type="dxa" w:w="2351"/>
          </w:tcPr>
          <w:p>
            <w:r/>
            <w:r>
              <w:rPr>
                <w:rFonts w:ascii="Calibri" w:hAnsi="Calibri"/>
                <w:color w:val="333333"/>
                <w:sz w:val="19"/>
              </w:rPr>
              <w:t>5</w:t>
            </w:r>
          </w:p>
        </w:tc>
        <w:tc>
          <w:tcPr>
            <w:tcW w:type="dxa" w:w="2351"/>
          </w:tcPr>
          <w:p>
            <w:r/>
            <w:r>
              <w:rPr>
                <w:rFonts w:ascii="Calibri" w:hAnsi="Calibri"/>
                <w:color w:val="333333"/>
                <w:sz w:val="19"/>
              </w:rPr>
              <w:t>Empfehlung: anwaltliche Finalisierung (5–8h Zeithonorar)</w:t>
            </w:r>
          </w:p>
        </w:tc>
        <w:tc>
          <w:tcPr>
            <w:tcW w:type="dxa" w:w="2351"/>
          </w:tcPr>
          <w:p>
            <w:r/>
            <w:r>
              <w:rPr>
                <w:rFonts w:ascii="Calibri" w:hAnsi="Calibri"/>
                <w:b/>
                <w:color w:val="333333"/>
                <w:sz w:val="19"/>
              </w:rPr>
              <w:t>Offen</w:t>
            </w:r>
          </w:p>
        </w:tc>
        <w:tc>
          <w:tcPr>
            <w:tcW w:type="dxa" w:w="2351"/>
          </w:tcPr>
          <w:p>
            <w:r/>
            <w:r>
              <w:rPr>
                <w:rFonts w:ascii="Calibri" w:hAnsi="Calibri"/>
                <w:color w:val="333333"/>
                <w:sz w:val="19"/>
              </w:rPr>
              <w:t>Nächster Schritt: Gründungswerft-Anwalt beauftragen</w:t>
            </w:r>
          </w:p>
        </w:tc>
      </w:tr>
      <w:tr>
        <w:tc>
          <w:tcPr>
            <w:tcW w:type="dxa" w:w="2351"/>
            <w:shd w:fill="F5F5F8" w:val="clear"/>
          </w:tcPr>
          <w:p>
            <w:r/>
            <w:r>
              <w:rPr>
                <w:rFonts w:ascii="Calibri" w:hAnsi="Calibri"/>
                <w:color w:val="333333"/>
                <w:sz w:val="19"/>
              </w:rPr>
              <w:t>6</w:t>
            </w:r>
          </w:p>
        </w:tc>
        <w:tc>
          <w:tcPr>
            <w:tcW w:type="dxa" w:w="2351"/>
            <w:shd w:fill="F5F5F8" w:val="clear"/>
          </w:tcPr>
          <w:p>
            <w:r/>
            <w:r>
              <w:rPr>
                <w:rFonts w:ascii="Calibri" w:hAnsi="Calibri"/>
                <w:color w:val="333333"/>
                <w:sz w:val="19"/>
              </w:rPr>
              <w:t>Vermittlertätigkeiten müssen konkretisiert werden</w:t>
            </w:r>
          </w:p>
        </w:tc>
        <w:tc>
          <w:tcPr>
            <w:tcW w:type="dxa" w:w="2351"/>
            <w:shd w:fill="F5F5F8" w:val="clear"/>
          </w:tcPr>
          <w:p>
            <w:r/>
            <w:r>
              <w:rPr>
                <w:rFonts w:ascii="Calibri" w:hAnsi="Calibri"/>
                <w:b/>
                <w:color w:val="333333"/>
                <w:sz w:val="19"/>
              </w:rPr>
              <w:t>Behoben</w:t>
            </w:r>
          </w:p>
        </w:tc>
        <w:tc>
          <w:tcPr>
            <w:tcW w:type="dxa" w:w="2351"/>
            <w:shd w:fill="F5F5F8" w:val="clear"/>
          </w:tcPr>
          <w:p>
            <w:r/>
            <w:r>
              <w:rPr>
                <w:rFonts w:ascii="Calibri" w:hAnsi="Calibri"/>
                <w:color w:val="333333"/>
                <w:sz w:val="19"/>
              </w:rPr>
              <w:t>§ 1 Abs. 2 listet konkrete Vermittlungshandlungen auf</w:t>
            </w:r>
          </w:p>
        </w:tc>
      </w:tr>
    </w:tbl>
    <w:p/>
    <w:p>
      <w:r>
        <w:rPr>
          <w:rFonts w:ascii="Calibri" w:hAnsi="Calibri"/>
          <w:b/>
          <w:color w:val="333333"/>
          <w:sz w:val="21"/>
        </w:rPr>
        <w:t>Generelle Einschätzung des Anwalts:</w:t>
      </w:r>
      <w:r>
        <w:rPr>
          <w:rFonts w:ascii="Calibri" w:hAnsi="Calibri"/>
          <w:color w:val="333333"/>
          <w:sz w:val="21"/>
        </w:rPr>
        <w:t xml:space="preserve"> Vieles im Vertrag ist brauchbar und richtig (Steuerseite, DSGVO, Gerichtsstand). Aber die Grundstruktur musste „vom Kopf auf die Füße" gestellt werden. Wichtig: Anwalt haftet für sein Werk (Vermögensschadenhaftpflicht min. 1 Mio €), KI-generierte Verträge nicht.</w:t>
      </w:r>
    </w:p>
    <w:p>
      <w:pPr>
        <w:pStyle w:val="Heading3"/>
      </w:pPr>
      <w:r>
        <w:t>Stärken des Vertrags (bestätigt)</w:t>
      </w:r>
    </w:p>
    <w:tbl>
      <w:tblPr>
        <w:tblStyle w:val="TableGrid"/>
        <w:tblW w:type="auto" w:w="0"/>
        <w:jc w:val="left"/>
        <w:tblLook w:firstColumn="1" w:firstRow="1" w:lastColumn="0" w:lastRow="0" w:noHBand="0" w:noVBand="1" w:val="04A0"/>
      </w:tblPr>
      <w:tblGrid>
        <w:gridCol w:w="4703"/>
        <w:gridCol w:w="4703"/>
      </w:tblGrid>
      <w:tr>
        <w:tc>
          <w:tcPr>
            <w:tcW w:type="dxa" w:w="4703"/>
            <w:shd w:fill="2d2d44" w:val="clear"/>
          </w:tcPr>
          <w:p>
            <w:pPr>
              <w:jc w:val="left"/>
            </w:pPr>
            <w:r/>
            <w:r>
              <w:rPr>
                <w:rFonts w:ascii="Calibri" w:hAnsi="Calibri"/>
                <w:b/>
                <w:color w:val="FFFFFF"/>
                <w:sz w:val="19"/>
              </w:rPr>
              <w:t>Element</w:t>
            </w:r>
          </w:p>
        </w:tc>
        <w:tc>
          <w:tcPr>
            <w:tcW w:type="dxa" w:w="4703"/>
            <w:shd w:fill="2d2d44" w:val="clear"/>
          </w:tcPr>
          <w:p>
            <w:pPr>
              <w:jc w:val="left"/>
            </w:pPr>
            <w:r/>
            <w:r>
              <w:rPr>
                <w:rFonts w:ascii="Calibri" w:hAnsi="Calibri"/>
                <w:b/>
                <w:color w:val="FFFFFF"/>
                <w:sz w:val="19"/>
              </w:rPr>
              <w:t>Warum es da ist</w:t>
            </w:r>
          </w:p>
        </w:tc>
      </w:tr>
      <w:tr>
        <w:tc>
          <w:tcPr>
            <w:tcW w:type="dxa" w:w="4703"/>
          </w:tcPr>
          <w:p>
            <w:r/>
            <w:r>
              <w:rPr>
                <w:rFonts w:ascii="Calibri" w:hAnsi="Calibri"/>
                <w:color w:val="333333"/>
                <w:sz w:val="19"/>
              </w:rPr>
              <w:t>§ 652 BGB explizit genannt</w:t>
            </w:r>
          </w:p>
        </w:tc>
        <w:tc>
          <w:tcPr>
            <w:tcW w:type="dxa" w:w="4703"/>
          </w:tcPr>
          <w:p>
            <w:r/>
            <w:r>
              <w:rPr>
                <w:rFonts w:ascii="Calibri" w:hAnsi="Calibri"/>
                <w:color w:val="333333"/>
                <w:sz w:val="19"/>
              </w:rPr>
              <w:t>Rechtsgrundlage ist sofort klar — kein Rätselraten über Vertragstyp</w:t>
            </w:r>
          </w:p>
        </w:tc>
      </w:tr>
      <w:tr>
        <w:tc>
          <w:tcPr>
            <w:tcW w:type="dxa" w:w="4703"/>
            <w:shd w:fill="F5F5F8" w:val="clear"/>
          </w:tcPr>
          <w:p>
            <w:r/>
            <w:r>
              <w:rPr>
                <w:rFonts w:ascii="Calibri" w:hAnsi="Calibri"/>
                <w:color w:val="333333"/>
                <w:sz w:val="19"/>
              </w:rPr>
              <w:t>§ 84 HGB explizit ausgeschlossen</w:t>
            </w:r>
          </w:p>
        </w:tc>
        <w:tc>
          <w:tcPr>
            <w:tcW w:type="dxa" w:w="4703"/>
            <w:shd w:fill="F5F5F8" w:val="clear"/>
          </w:tcPr>
          <w:p>
            <w:r/>
            <w:r>
              <w:rPr>
                <w:rFonts w:ascii="Calibri" w:hAnsi="Calibri"/>
                <w:color w:val="333333"/>
                <w:sz w:val="19"/>
              </w:rPr>
              <w:t>Schließt den teuersten Fehler aus: Handelsvertreterstatus mit Ausgleichsanspruch (§ 89b HGB)</w:t>
            </w:r>
          </w:p>
        </w:tc>
      </w:tr>
      <w:tr>
        <w:tc>
          <w:tcPr>
            <w:tcW w:type="dxa" w:w="4703"/>
          </w:tcPr>
          <w:p>
            <w:r/>
            <w:r>
              <w:rPr>
                <w:rFonts w:ascii="Calibri" w:hAnsi="Calibri"/>
                <w:color w:val="333333"/>
                <w:sz w:val="19"/>
              </w:rPr>
              <w:t>Keine Bemühenspflicht, kein Weisungsrecht</w:t>
            </w:r>
          </w:p>
        </w:tc>
        <w:tc>
          <w:tcPr>
            <w:tcW w:type="dxa" w:w="4703"/>
          </w:tcPr>
          <w:p>
            <w:r/>
            <w:r>
              <w:rPr>
                <w:rFonts w:ascii="Calibri" w:hAnsi="Calibri"/>
                <w:color w:val="333333"/>
                <w:sz w:val="19"/>
              </w:rPr>
              <w:t>Untermauert die Makler-Einordnung — Gelegenheitsvermittler, nicht ständig Beauftragter</w:t>
            </w:r>
          </w:p>
        </w:tc>
      </w:tr>
      <w:tr>
        <w:tc>
          <w:tcPr>
            <w:tcW w:type="dxa" w:w="4703"/>
            <w:shd w:fill="F5F5F8" w:val="clear"/>
          </w:tcPr>
          <w:p>
            <w:r/>
            <w:r>
              <w:rPr>
                <w:rFonts w:ascii="Calibri" w:hAnsi="Calibri"/>
                <w:color w:val="333333"/>
                <w:sz w:val="19"/>
              </w:rPr>
              <w:t>§ 22 Nr. 3 EStG + 256€ Freigrenze</w:t>
            </w:r>
          </w:p>
        </w:tc>
        <w:tc>
          <w:tcPr>
            <w:tcW w:type="dxa" w:w="4703"/>
            <w:shd w:fill="F5F5F8" w:val="clear"/>
          </w:tcPr>
          <w:p>
            <w:r/>
            <w:r>
              <w:rPr>
                <w:rFonts w:ascii="Calibri" w:hAnsi="Calibri"/>
                <w:color w:val="333333"/>
                <w:sz w:val="19"/>
              </w:rPr>
              <w:t>Zeigt, dass du die Steuerseite für Privatpersonen verstanden hast</w:t>
            </w:r>
          </w:p>
        </w:tc>
      </w:tr>
      <w:tr>
        <w:tc>
          <w:tcPr>
            <w:tcW w:type="dxa" w:w="4703"/>
          </w:tcPr>
          <w:p>
            <w:r/>
            <w:r>
              <w:rPr>
                <w:rFonts w:ascii="Calibri" w:hAnsi="Calibri"/>
                <w:color w:val="333333"/>
                <w:sz w:val="19"/>
              </w:rPr>
              <w:t>§ 14 UStG Rechnungsanforderungen</w:t>
            </w:r>
          </w:p>
        </w:tc>
        <w:tc>
          <w:tcPr>
            <w:tcW w:type="dxa" w:w="4703"/>
          </w:tcPr>
          <w:p>
            <w:r/>
            <w:r>
              <w:rPr>
                <w:rFonts w:ascii="Calibri" w:hAnsi="Calibri"/>
                <w:color w:val="333333"/>
                <w:sz w:val="19"/>
              </w:rPr>
              <w:t>B2B-Variante ist sauber — Rechnung rein, Vorsteuer raus</w:t>
            </w:r>
          </w:p>
        </w:tc>
      </w:tr>
      <w:tr>
        <w:tc>
          <w:tcPr>
            <w:tcW w:type="dxa" w:w="4703"/>
            <w:shd w:fill="F5F5F8" w:val="clear"/>
          </w:tcPr>
          <w:p>
            <w:r/>
            <w:r>
              <w:rPr>
                <w:rFonts w:ascii="Calibri" w:hAnsi="Calibri"/>
                <w:color w:val="333333"/>
                <w:sz w:val="19"/>
              </w:rPr>
              <w:t>Keine Gutschrift im USt-Sinne</w:t>
            </w:r>
          </w:p>
        </w:tc>
        <w:tc>
          <w:tcPr>
            <w:tcW w:type="dxa" w:w="4703"/>
            <w:shd w:fill="F5F5F8" w:val="clear"/>
          </w:tcPr>
          <w:p>
            <w:r/>
            <w:r>
              <w:rPr>
                <w:rFonts w:ascii="Calibri" w:hAnsi="Calibri"/>
                <w:color w:val="333333"/>
                <w:sz w:val="19"/>
              </w:rPr>
              <w:t>Häufiger Fehler vermieden — Gutschriftverfahren (§ 14 Abs. 2 S. 2 UStG) erfordert Vorvereinbarung und gilt nur zwischen Unternehmern</w:t>
            </w:r>
          </w:p>
        </w:tc>
      </w:tr>
      <w:tr>
        <w:tc>
          <w:tcPr>
            <w:tcW w:type="dxa" w:w="4703"/>
          </w:tcPr>
          <w:p>
            <w:r/>
            <w:r>
              <w:rPr>
                <w:rFonts w:ascii="Calibri" w:hAnsi="Calibri"/>
                <w:color w:val="333333"/>
                <w:sz w:val="19"/>
              </w:rPr>
              <w:t>Art. 6 DSGVO bei Datenweitergabe</w:t>
            </w:r>
          </w:p>
        </w:tc>
        <w:tc>
          <w:tcPr>
            <w:tcW w:type="dxa" w:w="4703"/>
          </w:tcPr>
          <w:p>
            <w:r/>
            <w:r>
              <w:rPr>
                <w:rFonts w:ascii="Calibri" w:hAnsi="Calibri"/>
                <w:color w:val="333333"/>
                <w:sz w:val="19"/>
              </w:rPr>
              <w:t>DSGVO-Konformität der Kontaktvermittlung adressiert</w:t>
            </w:r>
          </w:p>
        </w:tc>
      </w:tr>
      <w:tr>
        <w:tc>
          <w:tcPr>
            <w:tcW w:type="dxa" w:w="4703"/>
            <w:shd w:fill="F5F5F8" w:val="clear"/>
          </w:tcPr>
          <w:p>
            <w:r/>
            <w:r>
              <w:rPr>
                <w:rFonts w:ascii="Calibri" w:hAnsi="Calibri"/>
                <w:color w:val="333333"/>
                <w:sz w:val="19"/>
              </w:rPr>
              <w:t>Salvatorische Klausel (§ 11 Abs. 4)</w:t>
            </w:r>
          </w:p>
        </w:tc>
        <w:tc>
          <w:tcPr>
            <w:tcW w:type="dxa" w:w="4703"/>
            <w:shd w:fill="F5F5F8" w:val="clear"/>
          </w:tcPr>
          <w:p>
            <w:r/>
            <w:r>
              <w:rPr>
                <w:rFonts w:ascii="Calibri" w:hAnsi="Calibri"/>
                <w:color w:val="333333"/>
                <w:sz w:val="19"/>
              </w:rPr>
              <w:t>Standard, aber notwendig</w:t>
            </w:r>
          </w:p>
        </w:tc>
      </w:tr>
      <w:tr>
        <w:tc>
          <w:tcPr>
            <w:tcW w:type="dxa" w:w="4703"/>
          </w:tcPr>
          <w:p>
            <w:r/>
            <w:r>
              <w:rPr>
                <w:rFonts w:ascii="Calibri" w:hAnsi="Calibri"/>
                <w:color w:val="333333"/>
                <w:sz w:val="19"/>
              </w:rPr>
              <w:t>Gerichtsstand Pasewalk (nur bei Kaufmann)</w:t>
            </w:r>
          </w:p>
        </w:tc>
        <w:tc>
          <w:tcPr>
            <w:tcW w:type="dxa" w:w="4703"/>
          </w:tcPr>
          <w:p>
            <w:r/>
            <w:r>
              <w:rPr>
                <w:rFonts w:ascii="Calibri" w:hAnsi="Calibri"/>
                <w:color w:val="333333"/>
                <w:sz w:val="19"/>
              </w:rPr>
              <w:t>Korrekt nach § 38 ZPO — bei Verbrauchern greifen die gesetzlichen Regelungen</w:t>
            </w:r>
          </w:p>
        </w:tc>
      </w:tr>
      <w:tr>
        <w:tc>
          <w:tcPr>
            <w:tcW w:type="dxa" w:w="4703"/>
            <w:shd w:fill="F5F5F8" w:val="clear"/>
          </w:tcPr>
          <w:p>
            <w:r/>
            <w:r>
              <w:rPr>
                <w:rFonts w:ascii="Calibri" w:hAnsi="Calibri"/>
                <w:color w:val="333333"/>
                <w:sz w:val="19"/>
              </w:rPr>
              <w:t>Kein Ausgleichsanspruch (§ 7 Abs. 5)</w:t>
            </w:r>
          </w:p>
        </w:tc>
        <w:tc>
          <w:tcPr>
            <w:tcW w:type="dxa" w:w="4703"/>
            <w:shd w:fill="F5F5F8" w:val="clear"/>
          </w:tcPr>
          <w:p>
            <w:r/>
            <w:r>
              <w:rPr>
                <w:rFonts w:ascii="Calibri" w:hAnsi="Calibri"/>
                <w:color w:val="333333"/>
                <w:sz w:val="19"/>
              </w:rPr>
              <w:t>Belt-and-suspenders: nochmal explizit ausgeschlossen, falls jemand trotzdem § 89b HGB versucht</w:t>
            </w:r>
          </w:p>
        </w:tc>
      </w:tr>
    </w:tbl>
    <w:p/>
    <w:p>
      <w:pPr>
        <w:pStyle w:val="Heading3"/>
      </w:pPr>
      <w:r>
        <w:t>Nächste Schritte</w:t>
      </w:r>
    </w:p>
    <w:p>
      <w:pPr>
        <w:pStyle w:val="ListNumber"/>
      </w:pPr>
      <w:r>
        <w:rPr>
          <w:rFonts w:ascii="Calibri" w:hAnsi="Calibri"/>
          <w:b/>
          <w:color w:val="333333"/>
          <w:sz w:val="21"/>
        </w:rPr>
        <w:t>Gründungswerft-Anwalt kontaktieren</w:t>
      </w:r>
      <w:r>
        <w:rPr>
          <w:rFonts w:ascii="Calibri" w:hAnsi="Calibri"/>
          <w:color w:val="333333"/>
          <w:sz w:val="21"/>
        </w:rPr>
        <w:t xml:space="preserve"> — diesen Entwurf als Basis vorlegen</w:t>
      </w:r>
    </w:p>
    <w:p>
      <w:pPr>
        <w:pStyle w:val="ListNumber"/>
      </w:pPr>
      <w:r>
        <w:rPr>
          <w:rFonts w:ascii="Calibri" w:hAnsi="Calibri"/>
          <w:b/>
          <w:color w:val="333333"/>
          <w:sz w:val="21"/>
        </w:rPr>
        <w:t>Zeithonorar vereinbaren</w:t>
      </w:r>
      <w:r>
        <w:rPr>
          <w:rFonts w:ascii="Calibri" w:hAnsi="Calibri"/>
          <w:color w:val="333333"/>
          <w:sz w:val="21"/>
        </w:rPr>
        <w:t xml:space="preserve"> (nicht Gegenstandswert) — geschätzt 5–8 Stunden</w:t>
      </w:r>
    </w:p>
    <w:p>
      <w:pPr>
        <w:pStyle w:val="ListNumber"/>
      </w:pPr>
      <w:r>
        <w:rPr>
          <w:rFonts w:ascii="Calibri" w:hAnsi="Calibri"/>
          <w:b/>
          <w:color w:val="333333"/>
          <w:sz w:val="21"/>
        </w:rPr>
        <w:t>Anwalt prüft und finalisiert</w:t>
      </w:r>
      <w:r>
        <w:rPr>
          <w:rFonts w:ascii="Calibri" w:hAnsi="Calibri"/>
          <w:color w:val="333333"/>
          <w:sz w:val="21"/>
        </w:rPr>
        <w:t xml:space="preserve"> — haftet dann auch für das Ergebnis (Vermögensschadenhaftpflicht)</w:t>
      </w:r>
    </w:p>
    <w:p>
      <w:pPr>
        <w:pStyle w:val="ListNumber"/>
      </w:pPr>
      <w:r>
        <w:rPr>
          <w:rFonts w:ascii="Calibri" w:hAnsi="Calibri"/>
          <w:b/>
          <w:color w:val="333333"/>
          <w:sz w:val="21"/>
        </w:rPr>
        <w:t>Finalisierte Version hier ablegen</w:t>
      </w:r>
      <w:r>
        <w:rPr>
          <w:rFonts w:ascii="Calibri" w:hAnsi="Calibri"/>
          <w:color w:val="333333"/>
          <w:sz w:val="21"/>
        </w:rPr>
        <w:t xml:space="preserve"> und Status auf „Operative" setzen</w:t>
      </w:r>
    </w:p>
    <w:p>
      <w:pPr>
        <w:spacing w:before="120" w:after="120"/>
        <w:jc w:val="center"/>
      </w:pPr>
      <w:r>
        <w:rPr>
          <w:color w:val="CCCCCC"/>
          <w:sz w:val="12"/>
        </w:rPr>
        <w:t>────────────────────────────────────────────────────────────</w:t>
      </w:r>
    </w:p>
    <w:p>
      <w:r>
        <w:rPr>
          <w:i/>
          <w:color w:val="888888"/>
          <w:sz w:val="18"/>
        </w:rPr>
        <w:t>Companion to: `07_REFERRAL_COMMISSION.md`, `06_PITCH_SCRIPTS.md`</w:t>
      </w:r>
    </w:p>
    <w:p>
      <w:r>
        <w:rPr>
          <w:i/>
          <w:color w:val="888888"/>
          <w:sz w:val="18"/>
        </w:rPr>
        <w:t>Created: March 2026</w:t>
      </w:r>
    </w:p>
    <w:p>
      <w:r>
        <w:rPr>
          <w:i/>
          <w:color w:val="888888"/>
          <w:sz w:val="18"/>
        </w:rPr>
        <w:t>Updated: 25.03.2026 — anwaltliches Feedback eingearbeitet</w:t>
      </w:r>
    </w:p>
    <w:p>
      <w:r>
        <w:rPr>
          <w:i/>
          <w:color w:val="888888"/>
          <w:sz w:val="18"/>
        </w:rPr>
        <w:t>Status: ENTWURF — anwaltliche Finalisierung ausstehend</w:t>
      </w:r>
    </w:p>
    <w:p>
      <w:r>
        <w:rPr>
          <w:i/>
          <w:color w:val="888888"/>
          <w:sz w:val="18"/>
        </w:rPr>
        <w:t>Quelle Feedback: Telefonat 25.03.2026 (transkribiert in `Rec_25._Mar_2026_at_17:00.txt`)</w:t>
      </w:r>
    </w:p>
    <w:p>
      <w:r>
        <w:rPr>
          <w:i/>
          <w:color w:val="888888"/>
          <w:sz w:val="18"/>
        </w:rPr>
        <w:t>Hinweis: Diese Vorlage wurde auf Basis der einschlägigen Rechtsgrundlagen (§ 652 BGB, § 22 Nr. 3 EStG, § 14 UStG, Art. 6 DSGVO) erstellt und anschließend auf Basis anwaltlichen Feedbacks überarbeitet. Sie ersetzt keine individuelle Rechtsberatung. Anwaltliche Prüfung und Finalisierung vor erstmaliger Verwendung ist erforderlich.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D3D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