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Vermittlungsvereinbarung</w:t>
      </w:r>
    </w:p>
    <w:p>
      <w:r>
        <w:rPr>
          <w:rFonts w:ascii="Calibri" w:hAnsi="Calibri"/>
          <w:color w:val="333333"/>
          <w:sz w:val="21"/>
        </w:rPr>
        <w:t>gemäß § 652 BGB (Vermittlungsmaklervertrag)</w:t>
      </w:r>
    </w:p>
    <w:p>
      <w:pPr>
        <w:spacing w:before="120" w:after="120"/>
        <w:jc w:val="center"/>
      </w:pPr>
      <w:r>
        <w:rPr>
          <w:color w:val="CCCCCC"/>
          <w:sz w:val="12"/>
        </w:rPr>
        <w:t>────────────────────────────────────────────────────────────</w:t>
      </w:r>
    </w:p>
    <w:p>
      <w:r>
        <w:rPr>
          <w:rFonts w:ascii="Calibri" w:hAnsi="Calibri"/>
          <w:b/>
          <w:color w:val="333333"/>
          <w:sz w:val="21"/>
        </w:rPr>
        <w:t>zwischen</w:t>
      </w:r>
    </w:p>
    <w:p>
      <w:r>
        <w:rPr>
          <w:rFonts w:ascii="Calibri" w:hAnsi="Calibri"/>
          <w:color w:val="333333"/>
          <w:sz w:val="21"/>
        </w:rPr>
        <w:t>Vound Brand UG (haftungsbeschränkt)</w:t>
      </w:r>
    </w:p>
    <w:p>
      <w:r>
        <w:rPr>
          <w:rFonts w:ascii="Calibri" w:hAnsi="Calibri"/>
          <w:color w:val="333333"/>
          <w:sz w:val="21"/>
        </w:rPr>
        <w:t>vertreten durch den Geschäftsführer Remington Splettstoesser</w:t>
      </w:r>
    </w:p>
    <w:p>
      <w:r>
        <w:rPr>
          <w:rFonts w:ascii="Calibri" w:hAnsi="Calibri"/>
          <w:color w:val="333333"/>
          <w:sz w:val="21"/>
        </w:rPr>
        <w:t>Am Markt 11, 17309 Pasewalk</w:t>
      </w:r>
    </w:p>
    <w:p>
      <w:r>
        <w:rPr>
          <w:rFonts w:ascii="Calibri" w:hAnsi="Calibri"/>
          <w:color w:val="333333"/>
          <w:sz w:val="21"/>
        </w:rPr>
        <w:t xml:space="preserve">handelnd unter der Marke </w:t>
      </w:r>
      <w:r>
        <w:rPr>
          <w:rFonts w:ascii="Calibri" w:hAnsi="Calibri"/>
          <w:b/>
          <w:color w:val="333333"/>
          <w:sz w:val="21"/>
        </w:rPr>
        <w:t>sevenlayers</w:t>
      </w:r>
    </w:p>
    <w:p>
      <w:r>
        <w:rPr>
          <w:rFonts w:ascii="Calibri" w:hAnsi="Calibri"/>
          <w:color w:val="333333"/>
          <w:sz w:val="21"/>
        </w:rPr>
        <w:t xml:space="preserve">— nachfolgend </w:t>
      </w:r>
      <w:r>
        <w:rPr>
          <w:rFonts w:ascii="Calibri" w:hAnsi="Calibri"/>
          <w:b/>
          <w:color w:val="333333"/>
          <w:sz w:val="21"/>
        </w:rPr>
        <w:t>„Auftraggeber"</w:t>
      </w:r>
      <w:r>
        <w:rPr>
          <w:rFonts w:ascii="Calibri" w:hAnsi="Calibri"/>
          <w:color w:val="333333"/>
          <w:sz w:val="21"/>
        </w:rPr>
        <w:t xml:space="preserve"> —</w:t>
      </w:r>
    </w:p>
    <w:p>
      <w:r>
        <w:rPr>
          <w:rFonts w:ascii="Calibri" w:hAnsi="Calibri"/>
          <w:b/>
          <w:color w:val="333333"/>
          <w:sz w:val="21"/>
        </w:rPr>
        <w:t>und</w:t>
      </w:r>
    </w:p>
    <w:p>
      <w:r>
        <w:rPr>
          <w:rFonts w:ascii="Calibri" w:hAnsi="Calibri"/>
          <w:color w:val="333333"/>
          <w:sz w:val="21"/>
        </w:rPr>
        <w:t>[VOLLSTÄNDIGER NAME]</w:t>
      </w:r>
    </w:p>
    <w:p>
      <w:r>
        <w:rPr>
          <w:rFonts w:ascii="Calibri" w:hAnsi="Calibri"/>
          <w:color w:val="333333"/>
          <w:sz w:val="21"/>
        </w:rPr>
        <w:t>[FIRMA, FALLS VORHANDEN — ANDERNFALLS: „Privatperson"]</w:t>
      </w:r>
    </w:p>
    <w:p>
      <w:r>
        <w:rPr>
          <w:rFonts w:ascii="Calibri" w:hAnsi="Calibri"/>
          <w:color w:val="333333"/>
          <w:sz w:val="21"/>
        </w:rPr>
        <w:t>[STRASSE, HAUSNUMMER]</w:t>
      </w:r>
    </w:p>
    <w:p>
      <w:r>
        <w:rPr>
          <w:rFonts w:ascii="Calibri" w:hAnsi="Calibri"/>
          <w:color w:val="333333"/>
          <w:sz w:val="21"/>
        </w:rPr>
        <w:t>[PLZ, ORT]</w:t>
      </w:r>
    </w:p>
    <w:p>
      <w:r>
        <w:rPr>
          <w:rFonts w:ascii="Calibri" w:hAnsi="Calibri"/>
          <w:color w:val="333333"/>
          <w:sz w:val="21"/>
        </w:rPr>
        <w:t>[STEUERNUMMER ODER UST-IDNR., FALLS VORHANDEN]</w:t>
      </w:r>
    </w:p>
    <w:p>
      <w:r>
        <w:rPr>
          <w:rFonts w:ascii="Calibri" w:hAnsi="Calibri"/>
          <w:color w:val="333333"/>
          <w:sz w:val="21"/>
        </w:rPr>
        <w:t xml:space="preserve">— nachfolgend </w:t>
      </w:r>
      <w:r>
        <w:rPr>
          <w:rFonts w:ascii="Calibri" w:hAnsi="Calibri"/>
          <w:b/>
          <w:color w:val="333333"/>
          <w:sz w:val="21"/>
        </w:rPr>
        <w:t>„Vermittler"</w:t>
      </w:r>
      <w:r>
        <w:rPr>
          <w:rFonts w:ascii="Calibri" w:hAnsi="Calibri"/>
          <w:color w:val="333333"/>
          <w:sz w:val="21"/>
        </w:rPr>
        <w:t xml:space="preserve"> —</w:t>
      </w:r>
    </w:p>
    <w:p>
      <w:r>
        <w:rPr>
          <w:rFonts w:ascii="Calibri" w:hAnsi="Calibri"/>
          <w:color w:val="333333"/>
          <w:sz w:val="21"/>
        </w:rPr>
        <w:t xml:space="preserve">— Auftraggeber und Vermittler gemeinsam </w:t>
      </w:r>
      <w:r>
        <w:rPr>
          <w:rFonts w:ascii="Calibri" w:hAnsi="Calibri"/>
          <w:b/>
          <w:color w:val="333333"/>
          <w:sz w:val="21"/>
        </w:rPr>
        <w:t>„Parteien"</w:t>
      </w:r>
      <w:r>
        <w:rPr>
          <w:rFonts w:ascii="Calibri" w:hAnsi="Calibri"/>
          <w:color w:val="333333"/>
          <w:sz w:val="21"/>
        </w:rPr>
        <w:t xml:space="preserve"> —</w:t>
      </w:r>
    </w:p>
    <w:p>
      <w:pPr>
        <w:spacing w:before="120" w:after="120"/>
        <w:jc w:val="center"/>
      </w:pPr>
      <w:r>
        <w:rPr>
          <w:color w:val="CCCCCC"/>
          <w:sz w:val="12"/>
        </w:rPr>
        <w:t>────────────────────────────────────────────────────────────</w:t>
      </w:r>
    </w:p>
    <w:p>
      <w:pPr>
        <w:pStyle w:val="Heading2"/>
      </w:pPr>
      <w:r>
        <w:t>§ 1 — Vertragsgegenstand und Rechtsgrundlage</w:t>
      </w:r>
    </w:p>
    <w:p>
      <w:r>
        <w:rPr>
          <w:rFonts w:ascii="Calibri" w:hAnsi="Calibri"/>
          <w:color w:val="333333"/>
          <w:sz w:val="21"/>
        </w:rPr>
        <w:t xml:space="preserve">(1) Gegenstand dieser Vereinbarung ist die gelegentliche Vermittlung von Kunden an den Auftraggeber durch den Vermittler gemäß </w:t>
      </w:r>
      <w:r>
        <w:rPr>
          <w:rFonts w:ascii="Calibri" w:hAnsi="Calibri"/>
          <w:b/>
          <w:color w:val="333333"/>
          <w:sz w:val="21"/>
        </w:rPr>
        <w:t>§ 652 BGB</w:t>
      </w:r>
      <w:r>
        <w:rPr>
          <w:rFonts w:ascii="Calibri" w:hAnsi="Calibri"/>
          <w:color w:val="333333"/>
          <w:sz w:val="21"/>
        </w:rPr>
        <w:t xml:space="preserve"> (Maklervertrag). Der Auftraggeber betreibt unter der Marke „sevenlayers" eine KI-Plattform für Unternehmenskommunikation und -betrieb.</w:t>
      </w:r>
    </w:p>
    <w:p>
      <w:r>
        <w:rPr>
          <w:rFonts w:ascii="Calibri" w:hAnsi="Calibri"/>
          <w:color w:val="333333"/>
          <w:sz w:val="21"/>
        </w:rPr>
        <w:t xml:space="preserve">(2) Der Vermittler erbringt </w:t>
      </w:r>
      <w:r>
        <w:rPr>
          <w:rFonts w:ascii="Calibri" w:hAnsi="Calibri"/>
          <w:b/>
          <w:color w:val="333333"/>
          <w:sz w:val="21"/>
        </w:rPr>
        <w:t>Vermittlungsleistungen</w:t>
      </w:r>
      <w:r>
        <w:rPr>
          <w:rFonts w:ascii="Calibri" w:hAnsi="Calibri"/>
          <w:color w:val="333333"/>
          <w:sz w:val="21"/>
        </w:rPr>
        <w:t xml:space="preserve"> im Sinne des § 652 Abs. 1 Satz 2 BGB: Er stellt aktiv den Kontakt zwischen dem Auftraggeber und potenziellen Kunden her. Die Vermittlungsleistung umfasst mindestens:</w:t>
      </w:r>
    </w:p>
    <w:p>
      <w:pPr>
        <w:pStyle w:val="ListBullet"/>
      </w:pPr>
      <w:r>
        <w:rPr>
          <w:rFonts w:ascii="Calibri" w:hAnsi="Calibri"/>
          <w:color w:val="333333"/>
          <w:sz w:val="21"/>
        </w:rPr>
        <w:t xml:space="preserve">die </w:t>
      </w:r>
      <w:r>
        <w:rPr>
          <w:rFonts w:ascii="Calibri" w:hAnsi="Calibri"/>
          <w:b/>
          <w:color w:val="333333"/>
          <w:sz w:val="21"/>
        </w:rPr>
        <w:t>eigenständige Kontaktaufnahme</w:t>
      </w:r>
      <w:r>
        <w:rPr>
          <w:rFonts w:ascii="Calibri" w:hAnsi="Calibri"/>
          <w:color w:val="333333"/>
          <w:sz w:val="21"/>
        </w:rPr>
        <w:t xml:space="preserve"> mit dem potenziellen Kunden und die Herstellung eines Erstkontakts zum Auftraggeber (per persönliche Vorstellung, WhatsApp-Einleitung, E-Mail-Einleitung, LinkedIn-Einleitung oder vergleichbar), oder</w:t>
      </w:r>
    </w:p>
    <w:p>
      <w:pPr>
        <w:pStyle w:val="ListBullet"/>
      </w:pPr>
      <w:r>
        <w:rPr>
          <w:rFonts w:ascii="Calibri" w:hAnsi="Calibri"/>
          <w:color w:val="333333"/>
          <w:sz w:val="21"/>
        </w:rPr>
        <w:t xml:space="preserve">die </w:t>
      </w:r>
      <w:r>
        <w:rPr>
          <w:rFonts w:ascii="Calibri" w:hAnsi="Calibri"/>
          <w:b/>
          <w:color w:val="333333"/>
          <w:sz w:val="21"/>
        </w:rPr>
        <w:t>aktive Einleitung eines Gesprächs</w:t>
      </w:r>
      <w:r>
        <w:rPr>
          <w:rFonts w:ascii="Calibri" w:hAnsi="Calibri"/>
          <w:color w:val="333333"/>
          <w:sz w:val="21"/>
        </w:rPr>
        <w:t xml:space="preserve"> zwischen dem Auftraggeber und dem potenziellen Kunden, bei dem der Vermittler die Parteien zusammenführt.</w:t>
      </w:r>
    </w:p>
    <w:p>
      <w:r>
        <w:rPr>
          <w:rFonts w:ascii="Calibri" w:hAnsi="Calibri"/>
          <w:color w:val="333333"/>
          <w:sz w:val="21"/>
        </w:rPr>
        <w:t xml:space="preserve">(3) </w:t>
      </w:r>
      <w:r>
        <w:rPr>
          <w:rFonts w:ascii="Calibri" w:hAnsi="Calibri"/>
          <w:b/>
          <w:color w:val="333333"/>
          <w:sz w:val="21"/>
        </w:rPr>
        <w:t>Abgrenzung zum Nachweismakler:</w:t>
      </w:r>
      <w:r>
        <w:rPr>
          <w:rFonts w:ascii="Calibri" w:hAnsi="Calibri"/>
          <w:color w:val="333333"/>
          <w:sz w:val="21"/>
        </w:rPr>
        <w:t xml:space="preserve"> Das bloße Benennen eines Namens, einer Firma oder einer Kontaktadresse, ohne dass der Vermittler den Kontakt aktiv hergestellt hat, begründet </w:t>
      </w:r>
      <w:r>
        <w:rPr>
          <w:rFonts w:ascii="Calibri" w:hAnsi="Calibri"/>
          <w:b/>
          <w:color w:val="333333"/>
          <w:sz w:val="21"/>
        </w:rPr>
        <w:t>keinen Provisionsanspruch</w:t>
      </w:r>
      <w:r>
        <w:rPr>
          <w:rFonts w:ascii="Calibri" w:hAnsi="Calibri"/>
          <w:color w:val="333333"/>
          <w:sz w:val="21"/>
        </w:rPr>
        <w:t>. Eine reine Nachweisleistung (§ 652 Abs. 1 Satz 1 BGB) ist von dieser Vereinbarung nicht erfasst.</w:t>
      </w:r>
    </w:p>
    <w:p>
      <w:r>
        <w:rPr>
          <w:rFonts w:ascii="Calibri" w:hAnsi="Calibri"/>
          <w:color w:val="333333"/>
          <w:sz w:val="21"/>
        </w:rPr>
        <w:t xml:space="preserve">(4) Der Vermittler ist nicht Angestellter, Arbeitnehmer, Vertreter oder Bevollmächtigter des Auftraggebers. Es besteht </w:t>
      </w:r>
      <w:r>
        <w:rPr>
          <w:rFonts w:ascii="Calibri" w:hAnsi="Calibri"/>
          <w:b/>
          <w:color w:val="333333"/>
          <w:sz w:val="21"/>
        </w:rPr>
        <w:t>kein Arbeitsverhältnis</w:t>
      </w:r>
      <w:r>
        <w:rPr>
          <w:rFonts w:ascii="Calibri" w:hAnsi="Calibri"/>
          <w:color w:val="333333"/>
          <w:sz w:val="21"/>
        </w:rPr>
        <w:t>. Der Vermittler unterliegt keiner Weisungsbindung hinsichtlich Ort, Zeit oder Art seiner Tätigkeit.</w:t>
      </w:r>
    </w:p>
    <w:p>
      <w:r>
        <w:rPr>
          <w:rFonts w:ascii="Calibri" w:hAnsi="Calibri"/>
          <w:color w:val="333333"/>
          <w:sz w:val="21"/>
        </w:rPr>
        <w:t xml:space="preserve">(5) </w:t>
      </w:r>
      <w:r>
        <w:rPr>
          <w:rFonts w:ascii="Calibri" w:hAnsi="Calibri"/>
          <w:b/>
          <w:color w:val="333333"/>
          <w:sz w:val="21"/>
        </w:rPr>
        <w:t>Abgrenzung zum Handelsvertreter:</w:t>
      </w:r>
      <w:r>
        <w:rPr>
          <w:rFonts w:ascii="Calibri" w:hAnsi="Calibri"/>
          <w:color w:val="333333"/>
          <w:sz w:val="21"/>
        </w:rPr>
        <w:t xml:space="preserve"> Diese Vereinbarung begründet </w:t>
      </w:r>
      <w:r>
        <w:rPr>
          <w:rFonts w:ascii="Calibri" w:hAnsi="Calibri"/>
          <w:b/>
          <w:color w:val="333333"/>
          <w:sz w:val="21"/>
        </w:rPr>
        <w:t>kein Handelsvertreterverhältnis</w:t>
      </w:r>
      <w:r>
        <w:rPr>
          <w:rFonts w:ascii="Calibri" w:hAnsi="Calibri"/>
          <w:color w:val="333333"/>
          <w:sz w:val="21"/>
        </w:rPr>
        <w:t xml:space="preserve"> im Sinne von § 84 HGB. Der Vermittler ist nicht ständig damit betraut, Geschäfte für den Auftraggeber zu vermitteln oder in dessen Namen abzuschließen. Es besteht keine Bemühenspflicht nach § 86 HGB. Die Vorschriften der §§ 84–92c HGB — insbesondere der Ausgleichsanspruch nach § 89b HGB — finden keine Anwendung.</w:t>
      </w:r>
    </w:p>
    <w:p>
      <w:pPr>
        <w:spacing w:before="120" w:after="120"/>
        <w:jc w:val="center"/>
      </w:pPr>
      <w:r>
        <w:rPr>
          <w:color w:val="CCCCCC"/>
          <w:sz w:val="12"/>
        </w:rPr>
        <w:t>────────────────────────────────────────────────────────────</w:t>
      </w:r>
    </w:p>
    <w:p>
      <w:pPr>
        <w:pStyle w:val="Heading2"/>
      </w:pPr>
      <w:r>
        <w:t>§ 2 — Provisionspflichtige Vermittlung</w:t>
      </w:r>
    </w:p>
    <w:p>
      <w:r>
        <w:rPr>
          <w:rFonts w:ascii="Calibri" w:hAnsi="Calibri"/>
          <w:color w:val="333333"/>
          <w:sz w:val="21"/>
        </w:rPr>
        <w:t xml:space="preserve">(1) Eine provisionspflichtige Vermittlung liegt vor, wenn der Vermittler den Kontakt zwischen dem Auftraggeber und einem potenziellen Kunden </w:t>
      </w:r>
      <w:r>
        <w:rPr>
          <w:rFonts w:ascii="Calibri" w:hAnsi="Calibri"/>
          <w:b/>
          <w:color w:val="333333"/>
          <w:sz w:val="21"/>
        </w:rPr>
        <w:t>aktiv hergestellt</w:t>
      </w:r>
      <w:r>
        <w:rPr>
          <w:rFonts w:ascii="Calibri" w:hAnsi="Calibri"/>
          <w:color w:val="333333"/>
          <w:sz w:val="21"/>
        </w:rPr>
        <w:t xml:space="preserve"> hat und dieser Kontakt zu einem zahlenden Kunden des Auftraggebers wird (§ 652 Abs. 1 Satz 2 BGB — Kausalität zwischen Vermittlung und Vertragsschluss).</w:t>
      </w:r>
    </w:p>
    <w:p>
      <w:r>
        <w:rPr>
          <w:rFonts w:ascii="Calibri" w:hAnsi="Calibri"/>
          <w:color w:val="333333"/>
          <w:sz w:val="21"/>
        </w:rPr>
        <w:t>(2) Der Kontakt gilt als vom Vermittler aktiv vermittelt, wenn kumulativ:</w:t>
      </w:r>
    </w:p>
    <w:p>
      <w:pPr>
        <w:pStyle w:val="ListBullet"/>
      </w:pPr>
      <w:r>
        <w:rPr>
          <w:rFonts w:ascii="Calibri" w:hAnsi="Calibri"/>
          <w:color w:val="333333"/>
          <w:sz w:val="21"/>
        </w:rPr>
        <w:t xml:space="preserve">(a) der Vermittler den Erstkontakt zwischen dem Auftraggeber und dem potenziellen Kunden </w:t>
      </w:r>
      <w:r>
        <w:rPr>
          <w:rFonts w:ascii="Calibri" w:hAnsi="Calibri"/>
          <w:b/>
          <w:color w:val="333333"/>
          <w:sz w:val="21"/>
        </w:rPr>
        <w:t>aktiv hergestellt</w:t>
      </w:r>
      <w:r>
        <w:rPr>
          <w:rFonts w:ascii="Calibri" w:hAnsi="Calibri"/>
          <w:color w:val="333333"/>
          <w:sz w:val="21"/>
        </w:rPr>
        <w:t xml:space="preserve"> hat — d. h. der Vermittler hat die Parteien zusammengeführt, nicht lediglich einen Namen oder eine Adresse mitgeteilt (vgl. § 1 Abs. 2 und 3),</w:t>
      </w:r>
    </w:p>
    <w:p>
      <w:pPr>
        <w:pStyle w:val="ListBullet"/>
      </w:pPr>
      <w:r>
        <w:rPr>
          <w:rFonts w:ascii="Calibri" w:hAnsi="Calibri"/>
          <w:color w:val="333333"/>
          <w:sz w:val="21"/>
        </w:rPr>
        <w:t>(b) der Auftraggeber den Kontakt zum Zeitpunkt der Vermittlung weder kannte noch aktiv bearbeitete (</w:t>
      </w:r>
      <w:r>
        <w:rPr>
          <w:rFonts w:ascii="Calibri" w:hAnsi="Calibri"/>
          <w:b/>
          <w:color w:val="333333"/>
          <w:sz w:val="21"/>
        </w:rPr>
        <w:t>Vorkenntnis-Einwand</w:t>
      </w:r>
      <w:r>
        <w:rPr>
          <w:rFonts w:ascii="Calibri" w:hAnsi="Calibri"/>
          <w:color w:val="333333"/>
          <w:sz w:val="21"/>
        </w:rPr>
        <w:t>, siehe § 2 Abs. 4), und</w:t>
      </w:r>
    </w:p>
    <w:p>
      <w:pPr>
        <w:pStyle w:val="ListBullet"/>
      </w:pPr>
      <w:r>
        <w:rPr>
          <w:rFonts w:ascii="Calibri" w:hAnsi="Calibri"/>
          <w:color w:val="333333"/>
          <w:sz w:val="21"/>
        </w:rPr>
        <w:t xml:space="preserve">(c) der potenzielle Kunde innerhalb von </w:t>
      </w:r>
      <w:r>
        <w:rPr>
          <w:rFonts w:ascii="Calibri" w:hAnsi="Calibri"/>
          <w:b/>
          <w:color w:val="333333"/>
          <w:sz w:val="21"/>
        </w:rPr>
        <w:t>90 Kalendertagen</w:t>
      </w:r>
      <w:r>
        <w:rPr>
          <w:rFonts w:ascii="Calibri" w:hAnsi="Calibri"/>
          <w:color w:val="333333"/>
          <w:sz w:val="21"/>
        </w:rPr>
        <w:t xml:space="preserve"> nach der Vermittlung einen entgeltlichen Vertrag mit dem Auftraggeber abschließt.</w:t>
      </w:r>
    </w:p>
    <w:p>
      <w:r>
        <w:rPr>
          <w:rFonts w:ascii="Calibri" w:hAnsi="Calibri"/>
          <w:color w:val="333333"/>
          <w:sz w:val="21"/>
        </w:rPr>
        <w:t>(3) Der Auftraggeber übernimmt ab dem vermittelten Erstkontakt sämtliche weiteren Schritte: Produktdemo, Testphase, Vertragsverhandlung, Vertragsabschluss, Konfiguration und Support.</w:t>
      </w:r>
    </w:p>
    <w:p>
      <w:r>
        <w:rPr>
          <w:rFonts w:ascii="Calibri" w:hAnsi="Calibri"/>
          <w:color w:val="333333"/>
          <w:sz w:val="21"/>
        </w:rPr>
        <w:t xml:space="preserve">(4) </w:t>
      </w:r>
      <w:r>
        <w:rPr>
          <w:rFonts w:ascii="Calibri" w:hAnsi="Calibri"/>
          <w:b/>
          <w:color w:val="333333"/>
          <w:sz w:val="21"/>
        </w:rPr>
        <w:t>Vorkenntnis-Einwand:</w:t>
      </w:r>
      <w:r>
        <w:rPr>
          <w:rFonts w:ascii="Calibri" w:hAnsi="Calibri"/>
          <w:color w:val="333333"/>
          <w:sz w:val="21"/>
        </w:rPr>
        <w:t xml:space="preserve"> Bestand zum Zeitpunkt der Vermittlung bereits ein Kontakt oder eine aktive Geschäftsbeziehung zwischen dem Auftraggeber und dem potenziellen Kunden, so entsteht kein Provisionsanspruch. Der Auftraggeber informiert den Vermittler in diesem Fall unverzüglich.</w:t>
      </w:r>
    </w:p>
    <w:p>
      <w:r>
        <w:rPr>
          <w:rFonts w:ascii="Calibri" w:hAnsi="Calibri"/>
          <w:color w:val="333333"/>
          <w:sz w:val="21"/>
        </w:rPr>
        <w:t>(5) Der Vermittler hat keinen Einfluss auf und keine Verantwortung für den Vertragsinhalt zwischen Auftraggeber und Kunde.</w:t>
      </w:r>
    </w:p>
    <w:p>
      <w:pPr>
        <w:spacing w:before="120" w:after="120"/>
        <w:jc w:val="center"/>
      </w:pPr>
      <w:r>
        <w:rPr>
          <w:color w:val="CCCCCC"/>
          <w:sz w:val="12"/>
        </w:rPr>
        <w:t>────────────────────────────────────────────────────────────</w:t>
      </w:r>
    </w:p>
    <w:p>
      <w:pPr>
        <w:pStyle w:val="Heading2"/>
      </w:pPr>
      <w:r>
        <w:t>§ 3 — Provision</w:t>
      </w:r>
    </w:p>
    <w:p>
      <w:r>
        <w:rPr>
          <w:rFonts w:ascii="Calibri" w:hAnsi="Calibri"/>
          <w:color w:val="333333"/>
          <w:sz w:val="21"/>
        </w:rPr>
        <w:t xml:space="preserve">(1) Für jeden erfolgreich vermittelten Kunden erhält der Vermittler eine Provision in Höhe von </w:t>
      </w:r>
      <w:r>
        <w:rPr>
          <w:rFonts w:ascii="Calibri" w:hAnsi="Calibri"/>
          <w:b/>
          <w:color w:val="333333"/>
          <w:sz w:val="21"/>
        </w:rPr>
        <w:t>20 % (zwanzig Prozent) des monatlichen Nettoumsatzes</w:t>
      </w:r>
      <w:r>
        <w:rPr>
          <w:rFonts w:ascii="Calibri" w:hAnsi="Calibri"/>
          <w:color w:val="333333"/>
          <w:sz w:val="21"/>
        </w:rPr>
        <w:t xml:space="preserve"> (ohne Umsatzsteuer) des Auftraggebers mit dem vermittelten Kunden.</w:t>
      </w:r>
    </w:p>
    <w:p>
      <w:r>
        <w:rPr>
          <w:rFonts w:ascii="Calibri" w:hAnsi="Calibri"/>
          <w:color w:val="333333"/>
          <w:sz w:val="21"/>
        </w:rPr>
        <w:t xml:space="preserve">(2) Die Provision wird für die </w:t>
      </w:r>
      <w:r>
        <w:rPr>
          <w:rFonts w:ascii="Calibri" w:hAnsi="Calibri"/>
          <w:b/>
          <w:color w:val="333333"/>
          <w:sz w:val="21"/>
        </w:rPr>
        <w:t>ersten drei (3) Monate</w:t>
      </w:r>
      <w:r>
        <w:rPr>
          <w:rFonts w:ascii="Calibri" w:hAnsi="Calibri"/>
          <w:color w:val="333333"/>
          <w:sz w:val="21"/>
        </w:rPr>
        <w:t xml:space="preserve"> der zahlungspflichtigen Kundenbeziehung gezahlt, gerechnet ab dem Datum der ersten Kundenzahlung an den Auftraggeber.</w:t>
      </w:r>
    </w:p>
    <w:p>
      <w:r>
        <w:rPr>
          <w:rFonts w:ascii="Calibri" w:hAnsi="Calibri"/>
          <w:color w:val="333333"/>
          <w:sz w:val="21"/>
        </w:rPr>
        <w:t>(3) Der Provisionsanspruch entsteht aufschiebend bedingt: Er wird fällig, wenn und soweit der Kunde an den Auftraggeber zahlt. Für Monate, in denen der Kunde nicht zahlt (z. B. wegen Kündigung, Zahlungsverzug oder kostenloser Testphase), entsteht kein Provisionsanspruch.</w:t>
      </w:r>
    </w:p>
    <w:p>
      <w:r>
        <w:rPr>
          <w:rFonts w:ascii="Calibri" w:hAnsi="Calibri"/>
          <w:color w:val="333333"/>
          <w:sz w:val="21"/>
        </w:rPr>
        <w:t>(4) Berechnungsbeispiele: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2d2d44" w:val="clear"/>
          </w:tcPr>
          <w:p>
            <w:pPr>
              <w:jc w:val="left"/>
            </w:pPr>
            <w:r/>
            <w:r>
              <w:rPr>
                <w:rFonts w:ascii="Calibri" w:hAnsi="Calibri"/>
                <w:b/>
                <w:color w:val="FFFFFF"/>
                <w:sz w:val="19"/>
              </w:rPr>
              <w:t>Monatlicher Kundenumsatz (netto)</w:t>
            </w:r>
          </w:p>
        </w:tc>
        <w:tc>
          <w:tcPr>
            <w:tcW w:type="dxa" w:w="3135"/>
            <w:shd w:fill="2d2d44" w:val="clear"/>
          </w:tcPr>
          <w:p>
            <w:pPr>
              <w:jc w:val="left"/>
            </w:pPr>
            <w:r/>
            <w:r>
              <w:rPr>
                <w:rFonts w:ascii="Calibri" w:hAnsi="Calibri"/>
                <w:b/>
                <w:color w:val="FFFFFF"/>
                <w:sz w:val="19"/>
              </w:rPr>
              <w:t>Provision pro Monat</w:t>
            </w:r>
          </w:p>
        </w:tc>
        <w:tc>
          <w:tcPr>
            <w:tcW w:type="dxa" w:w="3135"/>
            <w:shd w:fill="2d2d44" w:val="clear"/>
          </w:tcPr>
          <w:p>
            <w:pPr>
              <w:jc w:val="left"/>
            </w:pPr>
            <w:r/>
            <w:r>
              <w:rPr>
                <w:rFonts w:ascii="Calibri" w:hAnsi="Calibri"/>
                <w:b/>
                <w:color w:val="FFFFFF"/>
                <w:sz w:val="19"/>
              </w:rPr>
              <w:t>Provision gesamt (3 Monate)</w:t>
            </w:r>
          </w:p>
        </w:tc>
      </w:tr>
      <w:tr>
        <w:tc>
          <w:tcPr>
            <w:tcW w:type="dxa" w:w="3135"/>
          </w:tcPr>
          <w:p>
            <w:r/>
            <w:r>
              <w:rPr>
                <w:rFonts w:ascii="Calibri" w:hAnsi="Calibri"/>
                <w:color w:val="333333"/>
                <w:sz w:val="19"/>
              </w:rPr>
              <w:t>2.000 €</w:t>
            </w:r>
          </w:p>
        </w:tc>
        <w:tc>
          <w:tcPr>
            <w:tcW w:type="dxa" w:w="3135"/>
          </w:tcPr>
          <w:p>
            <w:r/>
            <w:r>
              <w:rPr>
                <w:rFonts w:ascii="Calibri" w:hAnsi="Calibri"/>
                <w:color w:val="333333"/>
                <w:sz w:val="19"/>
              </w:rPr>
              <w:t>400 €</w:t>
            </w:r>
          </w:p>
        </w:tc>
        <w:tc>
          <w:tcPr>
            <w:tcW w:type="dxa" w:w="3135"/>
          </w:tcPr>
          <w:p>
            <w:r/>
            <w:r>
              <w:rPr>
                <w:rFonts w:ascii="Calibri" w:hAnsi="Calibri"/>
                <w:color w:val="333333"/>
                <w:sz w:val="19"/>
              </w:rPr>
              <w:t>1.200 €</w:t>
            </w:r>
          </w:p>
        </w:tc>
      </w:tr>
      <w:tr>
        <w:tc>
          <w:tcPr>
            <w:tcW w:type="dxa" w:w="3135"/>
            <w:shd w:fill="F5F5F8" w:val="clear"/>
          </w:tcPr>
          <w:p>
            <w:r/>
            <w:r>
              <w:rPr>
                <w:rFonts w:ascii="Calibri" w:hAnsi="Calibri"/>
                <w:color w:val="333333"/>
                <w:sz w:val="19"/>
              </w:rPr>
              <w:t>2.500 €</w:t>
            </w:r>
          </w:p>
        </w:tc>
        <w:tc>
          <w:tcPr>
            <w:tcW w:type="dxa" w:w="3135"/>
            <w:shd w:fill="F5F5F8" w:val="clear"/>
          </w:tcPr>
          <w:p>
            <w:r/>
            <w:r>
              <w:rPr>
                <w:rFonts w:ascii="Calibri" w:hAnsi="Calibri"/>
                <w:color w:val="333333"/>
                <w:sz w:val="19"/>
              </w:rPr>
              <w:t>500 €</w:t>
            </w:r>
          </w:p>
        </w:tc>
        <w:tc>
          <w:tcPr>
            <w:tcW w:type="dxa" w:w="3135"/>
            <w:shd w:fill="F5F5F8" w:val="clear"/>
          </w:tcPr>
          <w:p>
            <w:r/>
            <w:r>
              <w:rPr>
                <w:rFonts w:ascii="Calibri" w:hAnsi="Calibri"/>
                <w:color w:val="333333"/>
                <w:sz w:val="19"/>
              </w:rPr>
              <w:t>1.500 €</w:t>
            </w:r>
          </w:p>
        </w:tc>
      </w:tr>
      <w:tr>
        <w:tc>
          <w:tcPr>
            <w:tcW w:type="dxa" w:w="3135"/>
          </w:tcPr>
          <w:p>
            <w:r/>
            <w:r>
              <w:rPr>
                <w:rFonts w:ascii="Calibri" w:hAnsi="Calibri"/>
                <w:color w:val="333333"/>
                <w:sz w:val="19"/>
              </w:rPr>
              <w:t>3.000 €</w:t>
            </w:r>
          </w:p>
        </w:tc>
        <w:tc>
          <w:tcPr>
            <w:tcW w:type="dxa" w:w="3135"/>
          </w:tcPr>
          <w:p>
            <w:r/>
            <w:r>
              <w:rPr>
                <w:rFonts w:ascii="Calibri" w:hAnsi="Calibri"/>
                <w:color w:val="333333"/>
                <w:sz w:val="19"/>
              </w:rPr>
              <w:t>600 €</w:t>
            </w:r>
          </w:p>
        </w:tc>
        <w:tc>
          <w:tcPr>
            <w:tcW w:type="dxa" w:w="3135"/>
          </w:tcPr>
          <w:p>
            <w:r/>
            <w:r>
              <w:rPr>
                <w:rFonts w:ascii="Calibri" w:hAnsi="Calibri"/>
                <w:color w:val="333333"/>
                <w:sz w:val="19"/>
              </w:rPr>
              <w:t>1.800 €</w:t>
            </w:r>
          </w:p>
        </w:tc>
      </w:tr>
    </w:tbl>
    <w:p/>
    <w:p>
      <w:r>
        <w:rPr>
          <w:rFonts w:ascii="Calibri" w:hAnsi="Calibri"/>
          <w:color w:val="333333"/>
          <w:sz w:val="21"/>
        </w:rPr>
        <w:t>(5) Nach Ablauf der drei provisionspflichtigen Monate erlischt der Provisionsanspruch für den betreffenden Kunden, unabhängig davon, ob das Kundenverhältnis fortbesteht.</w:t>
      </w:r>
    </w:p>
    <w:p>
      <w:r>
        <w:rPr>
          <w:rFonts w:ascii="Calibri" w:hAnsi="Calibri"/>
          <w:color w:val="333333"/>
          <w:sz w:val="21"/>
        </w:rPr>
        <w:t>(6) Es erfolgt keine Vorauszahlung auf zukünftige Provisionsansprüche.</w:t>
      </w:r>
    </w:p>
    <w:p>
      <w:pPr>
        <w:spacing w:before="120" w:after="120"/>
        <w:jc w:val="center"/>
      </w:pPr>
      <w:r>
        <w:rPr>
          <w:color w:val="CCCCCC"/>
          <w:sz w:val="12"/>
        </w:rPr>
        <w:t>────────────────────────────────────────────────────────────</w:t>
      </w:r>
    </w:p>
    <w:p>
      <w:pPr>
        <w:pStyle w:val="Heading2"/>
      </w:pPr>
      <w:r>
        <w:t>§ 4 — Abrechnung und Zahlung</w:t>
      </w:r>
    </w:p>
    <w:p>
      <w:pPr>
        <w:pStyle w:val="Heading3"/>
      </w:pPr>
      <w:r>
        <w:t>Variante A — Vermittler ist Privatperson</w:t>
      </w:r>
    </w:p>
    <w:p>
      <w:r>
        <w:rPr>
          <w:i/>
          <w:color w:val="888888"/>
          <w:sz w:val="18"/>
        </w:rPr>
        <w:t>(Diese Variante gilt, wenn der Vermittler kein Gewerbe betreibt und keine Umsatzsteuer ausweist.)</w:t>
      </w:r>
    </w:p>
    <w:p>
      <w:r>
        <w:rPr>
          <w:rFonts w:ascii="Calibri" w:hAnsi="Calibri"/>
          <w:color w:val="333333"/>
          <w:sz w:val="21"/>
        </w:rPr>
        <w:t xml:space="preserve">(1) Der Auftraggeber erstellt nach Eingang jeder provisionspflichtigen Kundenzahlung eine </w:t>
      </w:r>
      <w:r>
        <w:rPr>
          <w:rFonts w:ascii="Calibri" w:hAnsi="Calibri"/>
          <w:b/>
          <w:color w:val="333333"/>
          <w:sz w:val="21"/>
        </w:rPr>
        <w:t>Provisionsabrechnung</w:t>
      </w:r>
      <w:r>
        <w:rPr>
          <w:rFonts w:ascii="Calibri" w:hAnsi="Calibri"/>
          <w:color w:val="333333"/>
          <w:sz w:val="21"/>
        </w:rPr>
        <w:t xml:space="preserve"> und übersendet diese an den Vermittler.</w:t>
      </w:r>
    </w:p>
    <w:p>
      <w:r>
        <w:rPr>
          <w:rFonts w:ascii="Calibri" w:hAnsi="Calibri"/>
          <w:color w:val="333333"/>
          <w:sz w:val="21"/>
        </w:rPr>
        <w:t>(2) Die Provisionsabrechnung enthält: Referenz des vermittelten Kunden, Abrechnungsmonat, Nettoumsatz mit dem Kunden, Provisionsbetrag, Auszahlungsdatum.</w:t>
      </w:r>
    </w:p>
    <w:p>
      <w:r>
        <w:rPr>
          <w:rFonts w:ascii="Calibri" w:hAnsi="Calibri"/>
          <w:color w:val="333333"/>
          <w:sz w:val="21"/>
        </w:rPr>
        <w:t xml:space="preserve">(3) Der Provisionsbetrag wird als </w:t>
      </w:r>
      <w:r>
        <w:rPr>
          <w:rFonts w:ascii="Calibri" w:hAnsi="Calibri"/>
          <w:b/>
          <w:color w:val="333333"/>
          <w:sz w:val="21"/>
        </w:rPr>
        <w:t>Bruttobetrag</w:t>
      </w:r>
      <w:r>
        <w:rPr>
          <w:rFonts w:ascii="Calibri" w:hAnsi="Calibri"/>
          <w:color w:val="333333"/>
          <w:sz w:val="21"/>
        </w:rPr>
        <w:t xml:space="preserve"> ausgezahlt. Der Auftraggeber nimmt </w:t>
      </w:r>
      <w:r>
        <w:rPr>
          <w:rFonts w:ascii="Calibri" w:hAnsi="Calibri"/>
          <w:b/>
          <w:color w:val="333333"/>
          <w:sz w:val="21"/>
        </w:rPr>
        <w:t>keine Steuerabzüge</w:t>
      </w:r>
      <w:r>
        <w:rPr>
          <w:rFonts w:ascii="Calibri" w:hAnsi="Calibri"/>
          <w:color w:val="333333"/>
          <w:sz w:val="21"/>
        </w:rPr>
        <w:t xml:space="preserve"> vor — es handelt sich nicht um Lohn, Gehalt oder eine arbeitnehmerähnliche Vergütung. Der Vermittler ist </w:t>
      </w:r>
      <w:r>
        <w:rPr>
          <w:rFonts w:ascii="Calibri" w:hAnsi="Calibri"/>
          <w:b/>
          <w:color w:val="333333"/>
          <w:sz w:val="21"/>
        </w:rPr>
        <w:t>selbst verantwortlich</w:t>
      </w:r>
      <w:r>
        <w:rPr>
          <w:rFonts w:ascii="Calibri" w:hAnsi="Calibri"/>
          <w:color w:val="333333"/>
          <w:sz w:val="21"/>
        </w:rPr>
        <w:t xml:space="preserve"> für die korrekte steuerliche Behandlung seiner Einkünfte.</w:t>
      </w:r>
    </w:p>
    <w:p>
      <w:r>
        <w:rPr>
          <w:rFonts w:ascii="Calibri" w:hAnsi="Calibri"/>
          <w:color w:val="333333"/>
          <w:sz w:val="21"/>
        </w:rPr>
        <w:t xml:space="preserve">(4) </w:t>
      </w:r>
      <w:r>
        <w:rPr>
          <w:rFonts w:ascii="Calibri" w:hAnsi="Calibri"/>
          <w:b/>
          <w:color w:val="333333"/>
          <w:sz w:val="21"/>
        </w:rPr>
        <w:t>Steuerlicher Hinweis:</w:t>
      </w:r>
      <w:r>
        <w:rPr>
          <w:rFonts w:ascii="Calibri" w:hAnsi="Calibri"/>
          <w:color w:val="333333"/>
          <w:sz w:val="21"/>
        </w:rPr>
        <w:t xml:space="preserve"> Provisionseinnahmen aus gelegentlicher Vermittlung fallen bei Privatpersonen unter </w:t>
      </w:r>
      <w:r>
        <w:rPr>
          <w:rFonts w:ascii="Calibri" w:hAnsi="Calibri"/>
          <w:b/>
          <w:color w:val="333333"/>
          <w:sz w:val="21"/>
        </w:rPr>
        <w:t>§ 22 Nr. 3 EStG</w:t>
      </w:r>
      <w:r>
        <w:rPr>
          <w:rFonts w:ascii="Calibri" w:hAnsi="Calibri"/>
          <w:color w:val="333333"/>
          <w:sz w:val="21"/>
        </w:rPr>
        <w:t xml:space="preserve"> (Einkünfte aus sonstigen Leistungen). Es gilt eine Freigrenze von </w:t>
      </w:r>
      <w:r>
        <w:rPr>
          <w:rFonts w:ascii="Calibri" w:hAnsi="Calibri"/>
          <w:b/>
          <w:color w:val="333333"/>
          <w:sz w:val="21"/>
        </w:rPr>
        <w:t>256 € pro Kalenderjahr</w:t>
      </w:r>
      <w:r>
        <w:rPr>
          <w:rFonts w:ascii="Calibri" w:hAnsi="Calibri"/>
          <w:color w:val="333333"/>
          <w:sz w:val="21"/>
        </w:rPr>
        <w:t xml:space="preserve"> — bei Überschreitung ist der gesamte Betrag einkommensteuerpflichtig. Die Einkünfte sind in der </w:t>
      </w:r>
      <w:r>
        <w:rPr>
          <w:rFonts w:ascii="Calibri" w:hAnsi="Calibri"/>
          <w:b/>
          <w:color w:val="333333"/>
          <w:sz w:val="21"/>
        </w:rPr>
        <w:t>Anlage SO</w:t>
      </w:r>
      <w:r>
        <w:rPr>
          <w:rFonts w:ascii="Calibri" w:hAnsi="Calibri"/>
          <w:color w:val="333333"/>
          <w:sz w:val="21"/>
        </w:rPr>
        <w:t xml:space="preserve"> der Einkommensteuererklärung zu erklären. Umsatzsteuer fällt bei gelegentlicher Vermittlung durch Privatpersonen nicht an.</w:t>
      </w:r>
    </w:p>
    <w:p>
      <w:r>
        <w:rPr>
          <w:rFonts w:ascii="Calibri" w:hAnsi="Calibri"/>
          <w:color w:val="333333"/>
          <w:sz w:val="21"/>
        </w:rPr>
        <w:t xml:space="preserve">(5) Die Auszahlung erfolgt innerhalb von </w:t>
      </w:r>
      <w:r>
        <w:rPr>
          <w:rFonts w:ascii="Calibri" w:hAnsi="Calibri"/>
          <w:b/>
          <w:color w:val="333333"/>
          <w:sz w:val="21"/>
        </w:rPr>
        <w:t>7 Werktagen</w:t>
      </w:r>
      <w:r>
        <w:rPr>
          <w:rFonts w:ascii="Calibri" w:hAnsi="Calibri"/>
          <w:color w:val="333333"/>
          <w:sz w:val="21"/>
        </w:rPr>
        <w:t xml:space="preserve"> nach Eingang der jeweiligen Kundenzahlung auf folgendes Konto:</w:t>
      </w:r>
    </w:p>
    <w:p>
      <w:r>
        <w:rPr>
          <w:rFonts w:ascii="Calibri" w:hAnsi="Calibri"/>
          <w:color w:val="333333"/>
          <w:sz w:val="21"/>
        </w:rPr>
        <w:t>Kontoinhaber: [NAME]</w:t>
      </w:r>
    </w:p>
    <w:p>
      <w:r>
        <w:rPr>
          <w:rFonts w:ascii="Calibri" w:hAnsi="Calibri"/>
          <w:color w:val="333333"/>
          <w:sz w:val="21"/>
        </w:rPr>
        <w:t>IBAN: [IBAN]</w:t>
      </w:r>
    </w:p>
    <w:p>
      <w:r>
        <w:rPr>
          <w:rFonts w:ascii="Calibri" w:hAnsi="Calibri"/>
          <w:color w:val="333333"/>
          <w:sz w:val="21"/>
        </w:rPr>
        <w:t>BIC: [BIC]</w:t>
      </w:r>
    </w:p>
    <w:p>
      <w:r>
        <w:rPr>
          <w:rFonts w:ascii="Calibri" w:hAnsi="Calibri"/>
          <w:color w:val="333333"/>
          <w:sz w:val="21"/>
        </w:rPr>
        <w:t>Bank: [BANK]</w:t>
      </w:r>
    </w:p>
    <w:p>
      <w:r>
        <w:rPr>
          <w:rFonts w:ascii="Calibri" w:hAnsi="Calibri"/>
          <w:color w:val="333333"/>
          <w:sz w:val="21"/>
        </w:rPr>
        <w:t>Alternativ per PayPal an: [PAYPAL-ADRESSE] *(sofern gewünscht — andernfalls streichen)*</w:t>
      </w:r>
    </w:p>
    <w:p>
      <w:pPr>
        <w:pStyle w:val="Heading3"/>
      </w:pPr>
      <w:r>
        <w:t>Variante B — Vermittler ist Gewerbetreibender / Unternehmer</w:t>
      </w:r>
    </w:p>
    <w:p>
      <w:r>
        <w:rPr>
          <w:i/>
          <w:color w:val="888888"/>
          <w:sz w:val="18"/>
        </w:rPr>
        <w:t>(Diese Variante gilt, wenn der Vermittler ein Gewerbe betreibt, freiberuflich tätig ist oder als juristische Person handelt.)</w:t>
      </w:r>
    </w:p>
    <w:p>
      <w:r>
        <w:rPr>
          <w:rFonts w:ascii="Calibri" w:hAnsi="Calibri"/>
          <w:color w:val="333333"/>
          <w:sz w:val="21"/>
        </w:rPr>
        <w:t xml:space="preserve">(1) Der Vermittler stellt dem Auftraggeber nach Eingang jeder provisionspflichtigen Kundenzahlung eine </w:t>
      </w:r>
      <w:r>
        <w:rPr>
          <w:rFonts w:ascii="Calibri" w:hAnsi="Calibri"/>
          <w:b/>
          <w:color w:val="333333"/>
          <w:sz w:val="21"/>
        </w:rPr>
        <w:t>ordnungsgemäße Rechnung gemäß § 14 UStG</w:t>
      </w:r>
      <w:r>
        <w:rPr>
          <w:rFonts w:ascii="Calibri" w:hAnsi="Calibri"/>
          <w:color w:val="333333"/>
          <w:sz w:val="21"/>
        </w:rPr>
        <w:t>.</w:t>
      </w:r>
    </w:p>
    <w:p>
      <w:r>
        <w:rPr>
          <w:rFonts w:ascii="Calibri" w:hAnsi="Calibri"/>
          <w:color w:val="333333"/>
          <w:sz w:val="21"/>
        </w:rPr>
        <w:t>(2) Die Rechnung enthält mindestens: Name und Anschrift beider Parteien, Steuernummer oder USt-IdNr. des Vermittlers, Rechnungsdatum, fortlaufende Rechnungsnummer, Leistungsbeschreibung (Vermittlung Kunde [Referenz], Monat [X]), Nettobetrag, Umsatzsteuerbetrag (19 % oder Hinweis auf § 19 UStG Kleinunternehmerregelung), Bruttobetrag, Bankverbindung des Vermittlers.</w:t>
      </w:r>
    </w:p>
    <w:p>
      <w:r>
        <w:rPr>
          <w:rFonts w:ascii="Calibri" w:hAnsi="Calibri"/>
          <w:color w:val="333333"/>
          <w:sz w:val="21"/>
        </w:rPr>
        <w:t xml:space="preserve">(3) Der Auftraggeber begleicht die Rechnung innerhalb von </w:t>
      </w:r>
      <w:r>
        <w:rPr>
          <w:rFonts w:ascii="Calibri" w:hAnsi="Calibri"/>
          <w:b/>
          <w:color w:val="333333"/>
          <w:sz w:val="21"/>
        </w:rPr>
        <w:t>7 Werktagen</w:t>
      </w:r>
      <w:r>
        <w:rPr>
          <w:rFonts w:ascii="Calibri" w:hAnsi="Calibri"/>
          <w:color w:val="333333"/>
          <w:sz w:val="21"/>
        </w:rPr>
        <w:t xml:space="preserve"> nach Rechnungseingang.</w:t>
      </w:r>
    </w:p>
    <w:p>
      <w:r>
        <w:rPr>
          <w:rFonts w:ascii="Calibri" w:hAnsi="Calibri"/>
          <w:color w:val="333333"/>
          <w:sz w:val="21"/>
        </w:rPr>
        <w:t>(4) Soweit die Rechnung Umsatzsteuer ausweist, macht der Auftraggeber den Vorsteuerabzug gemäß § 15 UStG geltend.</w:t>
      </w:r>
    </w:p>
    <w:p>
      <w:pPr>
        <w:spacing w:before="120" w:after="120"/>
        <w:jc w:val="center"/>
      </w:pPr>
      <w:r>
        <w:rPr>
          <w:color w:val="CCCCCC"/>
          <w:sz w:val="12"/>
        </w:rPr>
        <w:t>────────────────────────────────────────────────────────────</w:t>
      </w:r>
    </w:p>
    <w:p>
      <w:pPr>
        <w:pStyle w:val="Heading2"/>
      </w:pPr>
      <w:r>
        <w:t>§ 5 — Pflichten des Vermittlers</w:t>
      </w:r>
    </w:p>
    <w:p>
      <w:r>
        <w:rPr>
          <w:rFonts w:ascii="Calibri" w:hAnsi="Calibri"/>
          <w:color w:val="333333"/>
          <w:sz w:val="21"/>
        </w:rPr>
        <w:t>(1) Der Vermittler verpflichtet sich:</w:t>
      </w:r>
    </w:p>
    <w:p>
      <w:pPr>
        <w:pStyle w:val="ListBullet"/>
      </w:pPr>
      <w:r>
        <w:rPr>
          <w:rFonts w:ascii="Calibri" w:hAnsi="Calibri"/>
          <w:color w:val="333333"/>
          <w:sz w:val="21"/>
        </w:rPr>
        <w:t>keine rechtsverbindlichen Erklärungen im Namen des Auftraggebers abzugeben — insbesondere keine Zusagen über Preise, Leistungsumfang, Verfügbarkeit oder Vertragsbedingungen,</w:t>
      </w:r>
    </w:p>
    <w:p>
      <w:pPr>
        <w:pStyle w:val="ListBullet"/>
      </w:pPr>
      <w:r>
        <w:rPr>
          <w:rFonts w:ascii="Calibri" w:hAnsi="Calibri"/>
          <w:color w:val="333333"/>
          <w:sz w:val="21"/>
        </w:rPr>
        <w:t>keine irreführenden oder unwahren Angaben über die Plattform, ihre Funktionen oder Konditionen gegenüber Dritten zu machen,</w:t>
      </w:r>
    </w:p>
    <w:p>
      <w:pPr>
        <w:pStyle w:val="ListBullet"/>
      </w:pPr>
      <w:r>
        <w:rPr>
          <w:rFonts w:ascii="Calibri" w:hAnsi="Calibri"/>
          <w:color w:val="333333"/>
          <w:sz w:val="21"/>
        </w:rPr>
        <w:t>keine personenbezogenen Daten Dritter ohne deren Kenntnis oder Einwilligung an den Auftraggeber weiterzugeben (Art. 6 DSGVO),</w:t>
      </w:r>
    </w:p>
    <w:p>
      <w:pPr>
        <w:pStyle w:val="ListBullet"/>
      </w:pPr>
      <w:r>
        <w:rPr>
          <w:rFonts w:ascii="Calibri" w:hAnsi="Calibri"/>
          <w:color w:val="333333"/>
          <w:sz w:val="21"/>
        </w:rPr>
        <w:t>den Auftraggeber unverzüglich zu informieren, falls ein nachgewiesener Kontakt bereits anderweitig mit dem Auftraggeber in Verbindung steht.</w:t>
      </w:r>
    </w:p>
    <w:p>
      <w:r>
        <w:rPr>
          <w:rFonts w:ascii="Calibri" w:hAnsi="Calibri"/>
          <w:color w:val="333333"/>
          <w:sz w:val="21"/>
        </w:rPr>
        <w:t>(2) Der Auftraggeber stellt dem Vermittler folgende Materialien zur Verfügung:</w:t>
      </w:r>
    </w:p>
    <w:p>
      <w:pPr>
        <w:pStyle w:val="ListBullet"/>
      </w:pPr>
      <w:r>
        <w:rPr>
          <w:rFonts w:ascii="Calibri" w:hAnsi="Calibri"/>
          <w:color w:val="333333"/>
          <w:sz w:val="21"/>
        </w:rPr>
        <w:t>Demo-Nummer zum Testen und Vorführen</w:t>
      </w:r>
    </w:p>
    <w:p>
      <w:pPr>
        <w:pStyle w:val="ListBullet"/>
      </w:pPr>
      <w:r>
        <w:rPr>
          <w:rFonts w:ascii="Calibri" w:hAnsi="Calibri"/>
          <w:color w:val="333333"/>
          <w:sz w:val="21"/>
        </w:rPr>
        <w:t>Webadresse: sevenlayers.io</w:t>
      </w:r>
    </w:p>
    <w:p>
      <w:pPr>
        <w:pStyle w:val="ListBullet"/>
      </w:pPr>
      <w:r>
        <w:rPr>
          <w:rFonts w:ascii="Calibri" w:hAnsi="Calibri"/>
          <w:color w:val="333333"/>
          <w:sz w:val="21"/>
        </w:rPr>
        <w:t>Pitch-Script zur Weiterleitung (optional, auf Anfrage)</w:t>
      </w:r>
    </w:p>
    <w:p>
      <w:r>
        <w:rPr>
          <w:rFonts w:ascii="Calibri" w:hAnsi="Calibri"/>
          <w:color w:val="333333"/>
          <w:sz w:val="21"/>
        </w:rPr>
        <w:t>(3) Der Vermittler darf diese Materialien ausschließlich im Rahmen der Vermittlung verwenden. Eine anderweitige Nutzung, Veröffentlichung oder Weitergabe bedarf der vorherigen schriftlichen Zustimmung.</w:t>
      </w:r>
    </w:p>
    <w:p>
      <w:pPr>
        <w:spacing w:before="120" w:after="120"/>
        <w:jc w:val="center"/>
      </w:pPr>
      <w:r>
        <w:rPr>
          <w:color w:val="CCCCCC"/>
          <w:sz w:val="12"/>
        </w:rPr>
        <w:t>────────────────────────────────────────────────────────────</w:t>
      </w:r>
    </w:p>
    <w:p>
      <w:pPr>
        <w:pStyle w:val="Heading2"/>
      </w:pPr>
      <w:r>
        <w:t>§ 6 — Vorkenntnis und Zuordnung</w:t>
      </w:r>
    </w:p>
    <w:p>
      <w:r>
        <w:rPr>
          <w:rFonts w:ascii="Calibri" w:hAnsi="Calibri"/>
          <w:color w:val="333333"/>
          <w:sz w:val="21"/>
        </w:rPr>
        <w:t>(1) Ein Provisionsanspruch besteht nicht, wenn der Auftraggeber den vermittelten Kontakt zum Zeitpunkt der Vermittlung bereits kannte oder aktiv bearbeitete (Vorkenntnis-Einwand gemäß § 2 Abs. 4).</w:t>
      </w:r>
    </w:p>
    <w:p>
      <w:r>
        <w:rPr>
          <w:rFonts w:ascii="Calibri" w:hAnsi="Calibri"/>
          <w:color w:val="333333"/>
          <w:sz w:val="21"/>
        </w:rPr>
        <w:t>(2) Der Auftraggeber ist verpflichtet, den Vermittler unverzüglich und transparent darüber zu informieren, wenn eine Vorkenntnis besteht.</w:t>
      </w:r>
    </w:p>
    <w:p>
      <w:r>
        <w:rPr>
          <w:rFonts w:ascii="Calibri" w:hAnsi="Calibri"/>
          <w:color w:val="333333"/>
          <w:sz w:val="21"/>
        </w:rPr>
        <w:t xml:space="preserve">(3) </w:t>
      </w:r>
      <w:r>
        <w:rPr>
          <w:rFonts w:ascii="Calibri" w:hAnsi="Calibri"/>
          <w:b/>
          <w:color w:val="333333"/>
          <w:sz w:val="21"/>
        </w:rPr>
        <w:t>Keine parallele Provisionspflicht:</w:t>
      </w:r>
      <w:r>
        <w:rPr>
          <w:rFonts w:ascii="Calibri" w:hAnsi="Calibri"/>
          <w:color w:val="333333"/>
          <w:sz w:val="21"/>
        </w:rPr>
        <w:t xml:space="preserve"> Für einen bestimmten Kunden kann nur ein Vermittler provisionsberechtigt sein. Eine parallele oder aufgeteilte Provisionspflicht gegenüber mehreren Vermittlern für denselben Kunden ist ausgeschlossen.</w:t>
      </w:r>
    </w:p>
    <w:p>
      <w:pPr>
        <w:spacing w:before="120" w:after="120"/>
        <w:jc w:val="center"/>
      </w:pPr>
      <w:r>
        <w:rPr>
          <w:color w:val="CCCCCC"/>
          <w:sz w:val="12"/>
        </w:rPr>
        <w:t>────────────────────────────────────────────────────────────</w:t>
      </w:r>
    </w:p>
    <w:p>
      <w:pPr>
        <w:pStyle w:val="Heading2"/>
      </w:pPr>
      <w:r>
        <w:t>§ 7 — Laufzeit und Kündigung</w:t>
      </w:r>
    </w:p>
    <w:p>
      <w:r>
        <w:rPr>
          <w:rFonts w:ascii="Calibri" w:hAnsi="Calibri"/>
          <w:color w:val="333333"/>
          <w:sz w:val="21"/>
        </w:rPr>
        <w:t xml:space="preserve">(1) Diese Vereinbarung tritt mit Unterzeichnung beider Parteien in Kraft und gilt </w:t>
      </w:r>
      <w:r>
        <w:rPr>
          <w:rFonts w:ascii="Calibri" w:hAnsi="Calibri"/>
          <w:b/>
          <w:color w:val="333333"/>
          <w:sz w:val="21"/>
        </w:rPr>
        <w:t>unbefristet</w:t>
      </w:r>
      <w:r>
        <w:rPr>
          <w:rFonts w:ascii="Calibri" w:hAnsi="Calibri"/>
          <w:color w:val="333333"/>
          <w:sz w:val="21"/>
        </w:rPr>
        <w:t>.</w:t>
      </w:r>
    </w:p>
    <w:p>
      <w:r>
        <w:rPr>
          <w:rFonts w:ascii="Calibri" w:hAnsi="Calibri"/>
          <w:color w:val="333333"/>
          <w:sz w:val="21"/>
        </w:rPr>
        <w:t xml:space="preserve">(2) Beide Parteien können die Vereinbarung jederzeit mit einer Frist von </w:t>
      </w:r>
      <w:r>
        <w:rPr>
          <w:rFonts w:ascii="Calibri" w:hAnsi="Calibri"/>
          <w:b/>
          <w:color w:val="333333"/>
          <w:sz w:val="21"/>
        </w:rPr>
        <w:t>14 Tagen</w:t>
      </w:r>
      <w:r>
        <w:rPr>
          <w:rFonts w:ascii="Calibri" w:hAnsi="Calibri"/>
          <w:color w:val="333333"/>
          <w:sz w:val="21"/>
        </w:rPr>
        <w:t xml:space="preserve"> in Textform kündigen (E-Mail genügt).</w:t>
      </w:r>
    </w:p>
    <w:p>
      <w:r>
        <w:rPr>
          <w:rFonts w:ascii="Calibri" w:hAnsi="Calibri"/>
          <w:color w:val="333333"/>
          <w:sz w:val="21"/>
        </w:rPr>
        <w:t>(3) Bereits entstandene Provisionsansprüche — d. h. der Nachweis wurde vor Wirksamkeit der Kündigung erbracht und der Kunde hat vor oder nach Kündigung einen Vertrag abgeschlossen — bleiben von der Kündigung unberührt und werden gemäß § 3 und § 4 abgerechnet.</w:t>
      </w:r>
    </w:p>
    <w:p>
      <w:r>
        <w:rPr>
          <w:rFonts w:ascii="Calibri" w:hAnsi="Calibri"/>
          <w:color w:val="333333"/>
          <w:sz w:val="21"/>
        </w:rPr>
        <w:t xml:space="preserve">(4) Der Auftraggeber behält sich vor, die Provisionssätze und -bedingungen für </w:t>
      </w:r>
      <w:r>
        <w:rPr>
          <w:rFonts w:ascii="Calibri" w:hAnsi="Calibri"/>
          <w:b/>
          <w:color w:val="333333"/>
          <w:sz w:val="21"/>
        </w:rPr>
        <w:t>zukünftige Vermittlungen</w:t>
      </w:r>
      <w:r>
        <w:rPr>
          <w:rFonts w:ascii="Calibri" w:hAnsi="Calibri"/>
          <w:color w:val="333333"/>
          <w:sz w:val="21"/>
        </w:rPr>
        <w:t xml:space="preserve"> mit einer Ankündigungsfrist von 30 Tagen in Textform anzupassen. Für zum Zeitpunkt der Änderung bereits nachgewiesene und noch laufende Kunden gelten die bei Nachweis gültigen Konditionen.</w:t>
      </w:r>
    </w:p>
    <w:p>
      <w:r>
        <w:rPr>
          <w:rFonts w:ascii="Calibri" w:hAnsi="Calibri"/>
          <w:color w:val="333333"/>
          <w:sz w:val="21"/>
        </w:rPr>
        <w:t xml:space="preserve">(5) </w:t>
      </w:r>
      <w:r>
        <w:rPr>
          <w:rFonts w:ascii="Calibri" w:hAnsi="Calibri"/>
          <w:b/>
          <w:color w:val="333333"/>
          <w:sz w:val="21"/>
        </w:rPr>
        <w:t>Kein Ausgleichsanspruch.</w:t>
      </w:r>
      <w:r>
        <w:rPr>
          <w:rFonts w:ascii="Calibri" w:hAnsi="Calibri"/>
          <w:color w:val="333333"/>
          <w:sz w:val="21"/>
        </w:rPr>
        <w:t xml:space="preserve"> Bei Beendigung dieser Vereinbarung besteht kein Ausgleichsanspruch des Vermittlers — weder nach § 89b HGB (mangels Handelsvertretereigenschaft, vgl. § 1 Abs. 3) noch aus einem anderen Rechtsgrund.</w:t>
      </w:r>
    </w:p>
    <w:p>
      <w:pPr>
        <w:spacing w:before="120" w:after="120"/>
        <w:jc w:val="center"/>
      </w:pPr>
      <w:r>
        <w:rPr>
          <w:color w:val="CCCCCC"/>
          <w:sz w:val="12"/>
        </w:rPr>
        <w:t>────────────────────────────────────────────────────────────</w:t>
      </w:r>
    </w:p>
    <w:p>
      <w:pPr>
        <w:pStyle w:val="Heading2"/>
      </w:pPr>
      <w:r>
        <w:t>§ 8 — Vertraulichkeit</w:t>
      </w:r>
    </w:p>
    <w:p>
      <w:r>
        <w:rPr>
          <w:rFonts w:ascii="Calibri" w:hAnsi="Calibri"/>
          <w:color w:val="333333"/>
          <w:sz w:val="21"/>
        </w:rPr>
        <w:t>(1) Beide Parteien behandeln die Inhalte dieser Vereinbarung — insbesondere Provisionssätze, Kundendaten und geschäftliche Interna — vertraulich.</w:t>
      </w:r>
    </w:p>
    <w:p>
      <w:r>
        <w:rPr>
          <w:rFonts w:ascii="Calibri" w:hAnsi="Calibri"/>
          <w:color w:val="333333"/>
          <w:sz w:val="21"/>
        </w:rPr>
        <w:t>(2) Der Vermittler darf den Auftraggeber bzw. die Marke sevenlayers als Kooperationspartner erwähnen. Die konkreten Provisionskonditionen sind nicht zur Veröffentlichung bestimmt.</w:t>
      </w:r>
    </w:p>
    <w:p>
      <w:r>
        <w:rPr>
          <w:rFonts w:ascii="Calibri" w:hAnsi="Calibri"/>
          <w:color w:val="333333"/>
          <w:sz w:val="21"/>
        </w:rPr>
        <w:t>(3) Die Vertraulichkeitspflicht gilt über die Beendigung der Vereinbarung hinaus fort.</w:t>
      </w:r>
    </w:p>
    <w:p>
      <w:pPr>
        <w:spacing w:before="120" w:after="120"/>
        <w:jc w:val="center"/>
      </w:pPr>
      <w:r>
        <w:rPr>
          <w:color w:val="CCCCCC"/>
          <w:sz w:val="12"/>
        </w:rPr>
        <w:t>────────────────────────────────────────────────────────────</w:t>
      </w:r>
    </w:p>
    <w:p>
      <w:pPr>
        <w:pStyle w:val="Heading2"/>
      </w:pPr>
      <w:r>
        <w:t>§ 9 — Datenschutz</w:t>
      </w:r>
    </w:p>
    <w:p>
      <w:r>
        <w:rPr>
          <w:rFonts w:ascii="Calibri" w:hAnsi="Calibri"/>
          <w:color w:val="333333"/>
          <w:sz w:val="21"/>
        </w:rPr>
        <w:t>(1) Soweit der Vermittler im Rahmen seiner Tätigkeit personenbezogene Daten Dritter (Name, Telefonnummer, E-Mail-Adresse potenzieller Kunden) an den Auftraggeber weitergibt, stellt er sicher, dass die betroffene Person über die Weitergabe informiert ist oder die Weitergabe auf Grundlage eines berechtigten Interesses (Art. 6 Abs. 1 lit. f DSGVO) erfolgt.</w:t>
      </w:r>
    </w:p>
    <w:p>
      <w:r>
        <w:rPr>
          <w:rFonts w:ascii="Calibri" w:hAnsi="Calibri"/>
          <w:color w:val="333333"/>
          <w:sz w:val="21"/>
        </w:rPr>
        <w:t>(2) Der Auftraggeber verarbeitet die übermittelten Daten ausschließlich zum Zweck der Kontaktaufnahme und Geschäftsanbahnung und informiert die betroffene Person bei Erstkontakt über die Datenverarbeitung.</w:t>
      </w:r>
    </w:p>
    <w:p>
      <w:pPr>
        <w:spacing w:before="120" w:after="120"/>
        <w:jc w:val="center"/>
      </w:pPr>
      <w:r>
        <w:rPr>
          <w:color w:val="CCCCCC"/>
          <w:sz w:val="12"/>
        </w:rPr>
        <w:t>────────────────────────────────────────────────────────────</w:t>
      </w:r>
    </w:p>
    <w:p>
      <w:pPr>
        <w:pStyle w:val="Heading2"/>
      </w:pPr>
      <w:r>
        <w:t>§ 10 — Haftung</w:t>
      </w:r>
    </w:p>
    <w:p>
      <w:r>
        <w:rPr>
          <w:rFonts w:ascii="Calibri" w:hAnsi="Calibri"/>
          <w:color w:val="333333"/>
          <w:sz w:val="21"/>
        </w:rPr>
        <w:t>(1) Der Auftraggeber haftet nicht für den wirtschaftlichen Erfolg des Vermittlers. Es besteht kein Anspruch auf ein Mindestprovisionsaufkommen, eine Mindestzahl von Vermittlungsgelegenheiten oder eine bestimmte Abschlussquote.</w:t>
      </w:r>
    </w:p>
    <w:p>
      <w:r>
        <w:rPr>
          <w:rFonts w:ascii="Calibri" w:hAnsi="Calibri"/>
          <w:color w:val="333333"/>
          <w:sz w:val="21"/>
        </w:rPr>
        <w:t>(2) Der Vermittler haftet für Schäden, die durch vorsätzlich oder grob fahrlässig falsche Angaben gegenüber Dritten im Zusammenhang mit dem Auftraggeber oder der Marke sevenlayers entstehen.</w:t>
      </w:r>
    </w:p>
    <w:p>
      <w:r>
        <w:rPr>
          <w:rFonts w:ascii="Calibri" w:hAnsi="Calibri"/>
          <w:color w:val="333333"/>
          <w:sz w:val="21"/>
        </w:rPr>
        <w:t>(3) Eine weitergehende Haftung des Vermittlers für den Nichtzustandekommen von Verträgen oder das Verhalten nachgewiesener Kontakte besteht nicht.</w:t>
      </w:r>
    </w:p>
    <w:p>
      <w:pPr>
        <w:spacing w:before="120" w:after="120"/>
        <w:jc w:val="center"/>
      </w:pPr>
      <w:r>
        <w:rPr>
          <w:color w:val="CCCCCC"/>
          <w:sz w:val="12"/>
        </w:rPr>
        <w:t>────────────────────────────────────────────────────────────</w:t>
      </w:r>
    </w:p>
    <w:p>
      <w:pPr>
        <w:pStyle w:val="Heading2"/>
      </w:pPr>
      <w:r>
        <w:t>§ 11 — Schlussbestimmungen</w:t>
      </w:r>
    </w:p>
    <w:p>
      <w:r>
        <w:rPr>
          <w:rFonts w:ascii="Calibri" w:hAnsi="Calibri"/>
          <w:color w:val="333333"/>
          <w:sz w:val="21"/>
        </w:rPr>
        <w:t>(1) Es gilt das Recht der Bundesrepublik Deutschland.</w:t>
      </w:r>
    </w:p>
    <w:p>
      <w:r>
        <w:rPr>
          <w:rFonts w:ascii="Calibri" w:hAnsi="Calibri"/>
          <w:color w:val="333333"/>
          <w:sz w:val="21"/>
        </w:rPr>
        <w:t>(2) Gerichtsstand ist Pasewalk, sofern der Vermittler Kaufmann, juristische Person des öffentlichen Rechts oder öffentlich-rechtliches Sondervermögen ist. Im Übrigen gelten die gesetzlichen Gerichtsstandsregelungen.</w:t>
      </w:r>
    </w:p>
    <w:p>
      <w:r>
        <w:rPr>
          <w:rFonts w:ascii="Calibri" w:hAnsi="Calibri"/>
          <w:color w:val="333333"/>
          <w:sz w:val="21"/>
        </w:rPr>
        <w:t>(3) Änderungen und Ergänzungen dieser Vereinbarung bedürfen der Textform (E-Mail genügt).</w:t>
      </w:r>
    </w:p>
    <w:p>
      <w:r>
        <w:rPr>
          <w:rFonts w:ascii="Calibri" w:hAnsi="Calibri"/>
          <w:color w:val="333333"/>
          <w:sz w:val="21"/>
        </w:rPr>
        <w:t>(4) Sollte eine Bestimmung dieser Vereinbarung ganz oder teilweise unwirksam oder undurchführbar sein, so wird die Wirksamkeit der übrigen Bestimmungen hiervon nicht berührt. Die Parteien verpflichten sich, die unwirksame Bestimmung durch eine wirksame Regelung zu ersetzen, die dem wirtschaftlichen Zweck der unwirksamen Bestimmung möglichst nahekommt (salvatorische Klausel).</w:t>
      </w:r>
    </w:p>
    <w:p>
      <w:r>
        <w:rPr>
          <w:rFonts w:ascii="Calibri" w:hAnsi="Calibri"/>
          <w:color w:val="333333"/>
          <w:sz w:val="21"/>
        </w:rPr>
        <w:t>(5) Mündliche Nebenabreden bestehen nicht.</w:t>
      </w:r>
    </w:p>
    <w:p>
      <w:pPr>
        <w:spacing w:before="120" w:after="120"/>
        <w:jc w:val="center"/>
      </w:pPr>
      <w:r>
        <w:rPr>
          <w:color w:val="CCCCCC"/>
          <w:sz w:val="12"/>
        </w:rPr>
        <w:t>────────────────────────────────────────────────────────────</w:t>
      </w:r>
    </w:p>
    <w:p>
      <w:pPr>
        <w:pStyle w:val="Heading2"/>
      </w:pPr>
      <w:r>
        <w:t>Unterschriften</w:t>
      </w:r>
    </w:p>
    <w:p>
      <w:r>
        <w:rPr>
          <w:rFonts w:ascii="Calibri" w:hAnsi="Calibri"/>
          <w:color w:val="333333"/>
          <w:sz w:val="21"/>
        </w:rPr>
        <w:t>&amp;nbsp;</w:t>
      </w:r>
    </w:p>
    <w:p>
      <w:r>
        <w:rPr>
          <w:rFonts w:ascii="Calibri" w:hAnsi="Calibri"/>
          <w:b/>
          <w:color w:val="333333"/>
          <w:sz w:val="21"/>
        </w:rPr>
        <w:t>Auftraggeber — Vound Brand UG (haftungsbeschränkt)</w:t>
      </w:r>
    </w:p>
    <w:p>
      <w:r>
        <w:rPr>
          <w:rFonts w:ascii="Calibri" w:hAnsi="Calibri"/>
          <w:color w:val="333333"/>
          <w:sz w:val="21"/>
        </w:rPr>
        <w:t>Ort, Datum: \_\_\_\_\_\_\_\_\_\_\_\_\_\_\_\_\_\_\_\_\_\_\_\_\_\_\_\_\_</w:t>
      </w:r>
    </w:p>
    <w:p>
      <w:r>
        <w:rPr>
          <w:rFonts w:ascii="Calibri" w:hAnsi="Calibri"/>
          <w:color w:val="333333"/>
          <w:sz w:val="21"/>
        </w:rPr>
        <w:t>Remington Splettstoesser (Geschäftsführer): \_\_\_\_\_\_\_\_\_\_\_\_\_\_\_\_\_\_\_\_\_\_\_\_\_\_\_\_\_</w:t>
      </w:r>
    </w:p>
    <w:p>
      <w:r>
        <w:rPr>
          <w:rFonts w:ascii="Calibri" w:hAnsi="Calibri"/>
          <w:color w:val="333333"/>
          <w:sz w:val="21"/>
        </w:rPr>
        <w:t>&amp;nbsp;</w:t>
      </w:r>
    </w:p>
    <w:p>
      <w:r>
        <w:rPr>
          <w:rFonts w:ascii="Calibri" w:hAnsi="Calibri"/>
          <w:b/>
          <w:color w:val="333333"/>
          <w:sz w:val="21"/>
        </w:rPr>
        <w:t>Vermittler</w:t>
      </w:r>
    </w:p>
    <w:p>
      <w:r>
        <w:rPr>
          <w:rFonts w:ascii="Calibri" w:hAnsi="Calibri"/>
          <w:color w:val="333333"/>
          <w:sz w:val="21"/>
        </w:rPr>
        <w:t>Ort, Datum: \_\_\_\_\_\_\_\_\_\_\_\_\_\_\_\_\_\_\_\_\_\_\_\_\_\_\_\_\_</w:t>
      </w:r>
    </w:p>
    <w:p>
      <w:r>
        <w:rPr>
          <w:rFonts w:ascii="Calibri" w:hAnsi="Calibri"/>
          <w:color w:val="333333"/>
          <w:sz w:val="21"/>
        </w:rPr>
        <w:t>[NAME]: \_\_\_\_\_\_\_\_\_\_\_\_\_\_\_\_\_\_\_\_\_\_\_\_\_\_\_\_\_</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3D3D5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