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0 — Kanzlei-Nachweis: Strategieübersicht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Wert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Dokument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Phase 0 Übersicht — Kanzlei-Nachweis-Track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Datum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2026-03-18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Autor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Remington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Klassifizierung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Intern — Nur für den Gründer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Status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Operativ — Phase 0 taktisches Playbook, Begleitdokument zur v4-Strategie</w:t>
            </w:r>
          </w:p>
        </w:tc>
      </w:tr>
    </w:tbl>
    <w:p/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Strategie in einem Satz</w:t>
      </w:r>
    </w:p>
    <w:p>
      <w:r>
        <w:rPr>
          <w:rFonts w:ascii="Calibri" w:hAnsi="Calibri"/>
          <w:b/>
          <w:color w:val="333333"/>
          <w:sz w:val="21"/>
        </w:rPr>
        <w:t>10 Kanzleien als Kunden in 90 Tagen gewinnen, um die Vertikal-These zu beweisen, Fallstudien zu generieren und die Berechtigung für die Expansion auf Steuerberater zu verdienen.</w:t>
      </w:r>
    </w:p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Phase-Gate-Framework</w:t>
      </w:r>
    </w:p>
    <w:p>
      <w:pPr>
        <w:pStyle w:val="Heading3"/>
      </w:pPr>
      <w:r>
        <w:t>Phase 0 — Nachweis (jetzt → 10 Kunden, ~90 Tage)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Ziel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10 zahlende Kanzlei-Kunden, €5-8K MRR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Preise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€0 Audit, €299 Pilot, €499-999/Monat bezahlt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Vertriebsbewegung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Anruf-Audit → Pilot → Bezahlt. legalXchange als Launch-Event. Warmes Netzwerk + Kaltakquise.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Produkt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Clara + Jonas + Maren. Telefonempfang + Qualifizierung + Terminbuchung. Dashboard-MVP.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Erfolg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5+ Kanzleien, die unzufrieden wären, wenn wir verschwinden + echte Vorher/Nachher-Daten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Fundraise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Nein.</w:t>
            </w:r>
          </w:p>
        </w:tc>
      </w:tr>
    </w:tbl>
    <w:p/>
    <w:p>
      <w:pPr>
        <w:pStyle w:val="Heading3"/>
      </w:pPr>
      <w:r>
        <w:t>Phase 1 — Wiederholbar (10 → 30 Kunden, ~6 Monate)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Ziel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Wiederholbarer Vertrieb, €15-25K MRR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Preise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Volle v4-Stufen (€499-1.999/Monat)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Vertriebsbewegung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Fallstudien verkaufen. Templates verkürzen das Onboarding. Erste Einstellung übernimmt Ops.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Produkt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Dashboard reift. Rechtsgebiet-Templates gehärtet. RA-MICRO CSV-Export.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Erfolg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Neue Kanzleien finden uns (Inbound von Events, DAV, Legal Tech Verband)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Fundraise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Nur wenn es etwas beschleunigt, das bereits funktioniert.</w:t>
            </w:r>
          </w:p>
        </w:tc>
      </w:tr>
    </w:tbl>
    <w:p/>
    <w:p>
      <w:pPr>
        <w:pStyle w:val="Heading3"/>
      </w:pPr>
      <w:r>
        <w:t>Phase 2 — Expansion (30+ Kunden)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Ziel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Multi-Vertikal. Steuerberater gestartet. Kategorie dominieren.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Preise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v4-Stufen + vertikalspezifische Add-ons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Vertriebsbewegung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Multi-Vertikal-Team, Event-Präsenz, DAV/DStV-Partnerschaften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Erfolg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Umsatz finanziert Wachstum ODER Raise aus der Stärke heraus</w:t>
            </w:r>
          </w:p>
        </w:tc>
      </w:tr>
    </w:tbl>
    <w:p/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Was Phase 0 IST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Eine bootstrapped Nachweisphase, in der jede Kanzlei-Installation ein Datenpunkt ist.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Kanzlei-Kunden, die in 4-6 Wochen mit einem Entscheider abschließen.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Günstiger, schneller Einsatz — kein Beschaffungsprozess, keine IT-Prüfung, keine Fachabteilungen.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Der Gründer macht alles: verkaufen, konfigurieren, supporten, monitoren, iterieren.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Das Minimum Viable Business, das die Vertikal-These beweist.</w:t>
      </w:r>
    </w:p>
    <w:p>
      <w:pPr>
        <w:pStyle w:val="Heading2"/>
      </w:pPr>
      <w:r>
        <w:t>Was Phase 0 NICHT IST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Die langfristige Strategie. Das ist eine Brücke, kein Ziel.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Preise, auf die wir stolz sind. €499/Monat ist bewusst unter dem vollen Wert.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Skalierbare Abläufe. Gründergeführtes Alles bricht bei 12-15 Kunden zusammen. Das ist in Ordnung — wir brauchen 10.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Ein generisches Konzept. Wir gehen gezielt auf Kanzleien, nicht auf „jedes Unternehmen mit einem Telefon."</w:t>
      </w:r>
    </w:p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Wie Phase 0 v4 nährt</w:t>
      </w:r>
    </w:p>
    <w:p>
      <w:r>
        <w:rPr>
          <w:rFonts w:ascii="Calibri" w:hAnsi="Calibri"/>
          <w:color w:val="333333"/>
          <w:sz w:val="21"/>
        </w:rPr>
        <w:t>Jeder Kanzlei-Kunde generiert vier Dinge, die die Expansionsstrategie braucht:</w:t>
      </w:r>
    </w:p>
    <w:p>
      <w:pPr>
        <w:pStyle w:val="ListNumber"/>
      </w:pPr>
      <w:r>
        <w:rPr>
          <w:rFonts w:ascii="Calibri" w:hAnsi="Calibri"/>
          <w:b/>
          <w:color w:val="333333"/>
          <w:sz w:val="21"/>
        </w:rPr>
        <w:t>Fallstudie</w:t>
      </w:r>
      <w:r>
        <w:rPr>
          <w:rFonts w:ascii="Calibri" w:hAnsi="Calibri"/>
          <w:color w:val="333333"/>
          <w:sz w:val="21"/>
        </w:rPr>
        <w:t xml:space="preserve"> — Echte Vorher/Nachher-Daten (verpasste Anrufe, gebuchte Erstberatungen, wiedergewonnener Umsatz).</w:t>
      </w:r>
    </w:p>
    <w:p>
      <w:pPr>
        <w:pStyle w:val="ListNumber"/>
      </w:pPr>
      <w:r>
        <w:rPr>
          <w:rFonts w:ascii="Calibri" w:hAnsi="Calibri"/>
          <w:b/>
          <w:color w:val="333333"/>
          <w:sz w:val="21"/>
        </w:rPr>
        <w:t>Rechtsgebiet-Template</w:t>
      </w:r>
      <w:r>
        <w:rPr>
          <w:rFonts w:ascii="Calibri" w:hAnsi="Calibri"/>
          <w:color w:val="333333"/>
          <w:sz w:val="21"/>
        </w:rPr>
        <w:t xml:space="preserve"> — Jede Arbeitsrecht-Installation verbessert das Arbeitsrecht-Template. Ab Kanzlei 5 sinkt das Onboarding von 10 Stunden auf 4 Stunden.</w:t>
      </w:r>
    </w:p>
    <w:p>
      <w:pPr>
        <w:pStyle w:val="ListNumber"/>
      </w:pPr>
      <w:r>
        <w:rPr>
          <w:rFonts w:ascii="Calibri" w:hAnsi="Calibri"/>
          <w:b/>
          <w:color w:val="333333"/>
          <w:sz w:val="21"/>
        </w:rPr>
        <w:t>ElevenLabs-Glaubwürdigkeit</w:t>
      </w:r>
      <w:r>
        <w:rPr>
          <w:rFonts w:ascii="Calibri" w:hAnsi="Calibri"/>
          <w:color w:val="333333"/>
          <w:sz w:val="21"/>
        </w:rPr>
        <w:t xml:space="preserve"> — Echte Plattformnutzung beweist, dass wir Umsatz für ElevenLabs generieren. Das stärkt die CPA-Verhandlung.</w:t>
      </w:r>
    </w:p>
    <w:p>
      <w:pPr>
        <w:pStyle w:val="ListNumber"/>
      </w:pPr>
      <w:r>
        <w:rPr>
          <w:rFonts w:ascii="Calibri" w:hAnsi="Calibri"/>
          <w:b/>
          <w:color w:val="333333"/>
          <w:sz w:val="21"/>
        </w:rPr>
        <w:t>RA-MICRO-Gesprächseinstieg</w:t>
      </w:r>
      <w:r>
        <w:rPr>
          <w:rFonts w:ascii="Calibri" w:hAnsi="Calibri"/>
          <w:color w:val="333333"/>
          <w:sz w:val="21"/>
        </w:rPr>
        <w:t xml:space="preserve"> — „Wir haben 10 Kanzleien, die unsere KI-Telefonassistenz nutzen. Alle arbeiten mit RA-MICRO. Lassen Sie uns über eine Integration sprechen."</w:t>
      </w:r>
    </w:p>
    <w:p>
      <w:r>
        <w:rPr>
          <w:rFonts w:ascii="Calibri" w:hAnsi="Calibri"/>
          <w:color w:val="333333"/>
          <w:sz w:val="21"/>
        </w:rPr>
        <w:t>Phase-0-Kunden sind die Beweisschicht, die die Steuerberater-Expansion glaubwürdig macht. Ohne sie ist der Multi-Vertikal-Pitch eine Folienpräsentation. Mit ihnen ist es eine Erfolgsbilanz.</w:t>
      </w:r>
    </w:p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90-Tage-Zeitplan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Wochen</w:t>
            </w:r>
          </w:p>
        </w:tc>
        <w:tc>
          <w:tcPr>
            <w:tcW w:type="dxa" w:w="3135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Fokus</w:t>
            </w:r>
          </w:p>
        </w:tc>
        <w:tc>
          <w:tcPr>
            <w:tcW w:type="dxa" w:w="3135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Ziel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1-2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Clara+Jonas+Maren an Buchungsmaschine anbinden. 50+ Szenarien testen. legalXchange anmelden.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Produkt bereit für Demo</w:t>
            </w:r>
          </w:p>
        </w:tc>
      </w:tr>
      <w:tr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3-4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legalXchange München (28.-30. Apr). Erste 5-8 Demo-Calls.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3-5 Anruf-Audit-Vereinbarungen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5-8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3-5 Anruf-Audits durchführen. 2-3 zu Piloten konvertieren. Kaltakquise an 20 Kanzleien starten.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2-3 laufende Piloten</w:t>
            </w:r>
          </w:p>
        </w:tc>
      </w:tr>
      <w:tr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9-12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Piloten zu Bezahlt konvertieren. Neue Audits aus Pipeline starten. Anwaltstag besuchen.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8-10 zahlende Kunden</w:t>
            </w:r>
          </w:p>
        </w:tc>
      </w:tr>
    </w:tbl>
    <w:p/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Ehrliche Einschränkungen</w:t>
      </w:r>
    </w:p>
    <w:p>
      <w:pPr>
        <w:pStyle w:val="ListBullet"/>
      </w:pPr>
      <w:r>
        <w:rPr>
          <w:rFonts w:ascii="Calibri" w:hAnsi="Calibri"/>
          <w:b/>
          <w:color w:val="333333"/>
          <w:sz w:val="21"/>
        </w:rPr>
        <w:t>Solo-Gründer.</w:t>
      </w:r>
      <w:r>
        <w:rPr>
          <w:rFonts w:ascii="Calibri" w:hAnsi="Calibri"/>
          <w:color w:val="333333"/>
          <w:sz w:val="21"/>
        </w:rPr>
        <w:t xml:space="preserve"> Jede Stunde wird entweder gebaut, verkauft oder supportet. Es gibt keine vierte Kategorie.</w:t>
      </w:r>
    </w:p>
    <w:p>
      <w:pPr>
        <w:pStyle w:val="ListBullet"/>
      </w:pPr>
      <w:r>
        <w:rPr>
          <w:rFonts w:ascii="Calibri" w:hAnsi="Calibri"/>
          <w:b/>
          <w:color w:val="333333"/>
          <w:sz w:val="21"/>
        </w:rPr>
        <w:t>Null Kanzlei-Kunden.</w:t>
      </w:r>
      <w:r>
        <w:rPr>
          <w:rFonts w:ascii="Calibri" w:hAnsi="Calibri"/>
          <w:color w:val="333333"/>
          <w:sz w:val="21"/>
        </w:rPr>
        <w:t xml:space="preserve"> Kein Social Proof im Rechtsvertrieb. Die Demo und der Anruf-Audit tragen das gesamte Gewicht.</w:t>
      </w:r>
    </w:p>
    <w:p>
      <w:pPr>
        <w:pStyle w:val="ListBullet"/>
      </w:pPr>
      <w:r>
        <w:rPr>
          <w:rFonts w:ascii="Calibri" w:hAnsi="Calibri"/>
          <w:b/>
          <w:color w:val="333333"/>
          <w:sz w:val="21"/>
        </w:rPr>
        <w:t>Null Budget.</w:t>
      </w:r>
      <w:r>
        <w:rPr>
          <w:rFonts w:ascii="Calibri" w:hAnsi="Calibri"/>
          <w:color w:val="333333"/>
          <w:sz w:val="21"/>
        </w:rPr>
        <w:t xml:space="preserve"> Die legalXchange-Anmeldung ist die größte Ausgabe. Keine bezahlte Werbung, keine SDRs, keine PR.</w:t>
      </w:r>
    </w:p>
    <w:p>
      <w:pPr>
        <w:pStyle w:val="ListBullet"/>
      </w:pPr>
      <w:r>
        <w:rPr>
          <w:rFonts w:ascii="Calibri" w:hAnsi="Calibri"/>
          <w:b/>
          <w:color w:val="333333"/>
          <w:sz w:val="21"/>
        </w:rPr>
        <w:t>Produkt auf 3/10 Produktionsqualität.</w:t>
      </w:r>
      <w:r>
        <w:rPr>
          <w:rFonts w:ascii="Calibri" w:hAnsi="Calibri"/>
          <w:color w:val="333333"/>
          <w:sz w:val="21"/>
        </w:rPr>
        <w:t xml:space="preserve"> Agenten funktionieren. Buchungsmaschine existiert. Sie sind noch nicht verbunden. Woche 1-2 ist für die Verbindung.</w:t>
      </w:r>
    </w:p>
    <w:p>
      <w:pPr>
        <w:pStyle w:val="ListBullet"/>
      </w:pPr>
      <w:r>
        <w:rPr>
          <w:rFonts w:ascii="Calibri" w:hAnsi="Calibri"/>
          <w:b/>
          <w:color w:val="333333"/>
          <w:sz w:val="21"/>
        </w:rPr>
        <w:t>Hallo Kira existiert.</w:t>
      </w:r>
      <w:r>
        <w:rPr>
          <w:rFonts w:ascii="Calibri" w:hAnsi="Calibri"/>
          <w:color w:val="333333"/>
          <w:sz w:val="21"/>
        </w:rPr>
        <w:t xml:space="preserve"> Direkter Wettbewerber mit 3-5x niedrigerem Preis. Wir gewinnen über Ergebnistiefe, nicht über Preis.</w:t>
      </w:r>
    </w:p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Verbindung zu v4-Strategiedokumenten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Dokument</w:t>
            </w:r>
          </w:p>
        </w:tc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Wie Phase 0 es nutzt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02_SALES_MOTION.md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Anruf-Audit → Pilot → Bezahlt-Zyklus ist der Phase-0-Vertriebsprozess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03_DEMO_KIT_SPEC.md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„Schröder &amp; Partner"-Demo ist die Phase-0-Demo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04_TRIAL_PLAYBOOK.md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2-Wochen-Audit + 2-Wochen-Pilot ist die Phase-0-Teststruktur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05_PRICING_V4.md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Phase 0 nutzt Basis + Professional Stufen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TECHNICAL_PRODUCT_PLAN.md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Layer 1 (MVP-Verkabelung) muss in Woche 1-2 von Phase 0 abgeschlossen sein</w:t>
            </w:r>
          </w:p>
        </w:tc>
      </w:tr>
    </w:tbl>
    <w:p/>
    <w:p>
      <w:r>
        <w:rPr>
          <w:rFonts w:ascii="Calibri" w:hAnsi="Calibri"/>
          <w:color w:val="333333"/>
          <w:sz w:val="21"/>
        </w:rPr>
        <w:t xml:space="preserve">Phase 0 ist die taktische Ebene unter der strategischen Ebene. Jede Phase-0-Entscheidung sollte anhand einer Frage bewertet werden: </w:t>
      </w:r>
      <w:r>
        <w:rPr>
          <w:rFonts w:ascii="Calibri" w:hAnsi="Calibri"/>
          <w:b/>
          <w:color w:val="333333"/>
          <w:sz w:val="21"/>
        </w:rPr>
        <w:t>Bringt uns das näher an 10 Kanzlei-Kunden und €5K MRR?</w:t>
      </w:r>
    </w:p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8888"/>
          <w:sz w:val="18"/>
        </w:rPr>
        <w:t>Erstellt: März 2026</w:t>
      </w:r>
    </w:p>
    <w:p>
      <w:r>
        <w:rPr>
          <w:i/>
          <w:color w:val="888888"/>
          <w:sz w:val="18"/>
        </w:rPr>
        <w:t>Status: Operativ — Phase 0 beginnt sofort mit Produkt-Verkabelung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D2D4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3D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