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Phase 0 — Kanzlei-Nachweis: ICP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Feld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Wert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Dokument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Phase 0 ICP — Kanzlei-Zielprofil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Datum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2026-03-18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Klassifizierung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Intern — Nur für den Gründer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Phase 0 ICP: Arbeitsrecht- &amp; Familienrecht-Kanzleien</w:t>
      </w:r>
    </w:p>
    <w:p>
      <w:pPr>
        <w:spacing w:before="120" w:after="120"/>
        <w:ind w:left="567"/>
      </w:pPr>
      <w:r>
        <w:rPr>
          <w:rFonts w:ascii="Calibri" w:hAnsi="Calibri"/>
          <w:i/>
          <w:color w:val="555555"/>
          <w:sz w:val="20"/>
        </w:rPr>
        <w:t>„Wir verkaufen nicht an ‚Kanzleien.' Wir verkaufen an Arbeitsrecht-Kanzleien, bei denen gestern jemand gekündigt wurde und keinen Anwalt erreichen kann."</w:t>
      </w:r>
    </w:p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Primäre Zielgruppe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Attribut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Spezifikation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Rechtsgebiet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Arbeitsrecht (erste Priorität) oder Familienrecht (zweite Priorität)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Kanzleigröße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5-20 Anwälte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Umsatz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€1M-€5M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Standorte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1-2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Entscheider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Geschäftsführender Partner (Kanzleiinhaber)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Anrufvolumen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20-60 Anrufe/Tag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Aktuelle Lösung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Teilzeit-Empfang, geteilte Sekretärin oder nichts (Mailbox)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Software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RA-MICRO (bevorzugt, zeigt Marktpassung), DATEV (akzeptabel)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Geografie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NRW, Bayern, Berlin, Hamburg (höchste Dichte mittelgroßer Kanzleien)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Warum Arbeitsrecht zuerst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Faktor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Extreme Dringlichkeit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3-Wochen-Frist für Kündigungsschutzklage. Anrufer MUSS innerhalb von Tagen einen Anwalt erreichen oder verliert seinen Fall.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Hohes Anrufvolumen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Kündigungen passieren das ganze Jahr. Q1-Spitze (Neujahrs-Umstrukturierungen), Q3-Spitze (Probezeit-Kündigungen).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Standardisierte Aufnahme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Jeder Arbeitsrecht-Anruf stellt dieselben Fragen: Kündigung? Wann? Frist? Arbeitgeber? Betriebszugehörigkeit? RSV?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Einfache ROI-Rechnung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Verpasster Arbeitsrecht-Anruf = verlorenes Mandat = verlorene €3.000-20.000 an Honorar. Ein wiedergewonnenes Mandat/Monat zahlt unseren Service 3-6x.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Template-Hebelwirkung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Erste Kanzlei → Template. Zweite Kanzlei → 60% schnelleres Onboarding. Fünfte Kanzlei → 80% schneller.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Warum Familienrecht als Zweites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Faktor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Emotionale Dringlichkeit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Trennung, Scheidung, Sorgerecht — Anrufer sind gestresst, brauchen Beruhigung, werden nicht warten.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Trennungsjahr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Sobald die Entscheidung zur Trennung gefallen ist, beginnt die Uhr zu ticken. Rechtsberatung ist zeitkritisch.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Hohes Volumen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Familienrecht ist eines der voluminösesten Rechtsgebiete in Deutschland.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Komplementär zu Arbeitsrecht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Viele Kanzleien machen beides. Arbeitsrecht-Deployment und Familienrecht-Erweiterung ist ein natürliches Upselling.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Pain-Signale (nach Abschlusswahrscheinlichkeit sortiert)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Abschlusswahrscheinlichkeit</w:t>
            </w:r>
          </w:p>
        </w:tc>
        <w:tc>
          <w:tcPr>
            <w:tcW w:type="dxa" w:w="3135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Wie erkennen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„Wir verlieren Mandate, weil niemand rangeht"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90%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Direkte Aussage im ersten Gespräch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„Unsere Empfangsdame ist alleine und überfordert"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80%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Fragen zur aktuellen Telefon-Abwicklung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„Mittagspause ist ein Problem"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75%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Fragen, wann Anrufe verpasst werden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„Abends und Samstags gehen Anrufe auf die Mailbox"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75%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Fragen zur Erreichbarkeit außerhalb der Geschäftszeiten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„Wir haben es schon mit ebuero probiert"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70%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Zeigt, dass sie versucht haben, das Problem zu lösen</w:t>
            </w:r>
          </w:p>
        </w:tc>
      </w:tr>
      <w:tr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„Ich weiß, dass wir Anrufe verpassen"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60%</w:t>
            </w:r>
          </w:p>
        </w:tc>
        <w:tc>
          <w:tcPr>
            <w:tcW w:type="dxa" w:w="3135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Bewusstsein ohne Handlung — Audit schafft Dringlichkeit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„Wir sind eigentlich ganz gut erreichbar"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20%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Wahrscheinlich kein Leidensdruck. Audit könnte verstecktes Problem aufdecken, aber nicht darauf setzen.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Käufer-Persona: Der Kanzleiinhaber (Arbeitsrecht)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Name-Archetyp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Dr. Thomas Schröder, 52, Senior Partner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Hintergrund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20+ Jahre Fachanwalt für Arbeitsrecht. Hat die Kanzlei von 3 auf 12 Anwälte aufgebaut.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Tägliche Frustration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Verbringt 30 Min/Tag mit Telefon-Chaos. „Wer hat den Herrn Müller nicht zurückgerufen?"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Was er will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„Ich will, dass jeder Anruf professionell angenommen wird. Rund um die Uhr. Ohne dass ich eine weitere Mitarbeiterin einstellen muss."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Was er fürchtet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„Wenn die KI Mist baut, ruiniert das unseren Ruf." → Adressieren mit: 2-Wochen-Audit (kein Risiko), Anrufer merkt nicht, dass es KI ist, BRAO-konform.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Wie er entscheidet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Einmal sehen, dass es funktioniert → „Zeigen Sie mir das nochmal" → Partner zeigen → „Machen wir."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Budget-Toleranz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€500-1.000/Monat ist ein Rundungsfehler in einer €2M-Kanzlei. Keine Budgetdiskussion.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Disqualifizierungskriterien (Phase 0 spezifisch)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Signal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Maßnahme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Einzelanwalt oder 2-Personen-Kanzlei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Zu klein. Hallo Kira passt besser bei €99. Weiter.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„Wir wollen erst RA-MICRO-Integration"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Noch nicht lieferbar. Zurückstellen. In Phase 1 erneut ansprechen.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Rechtsgebiet ohne Dringlichkeit (Vertragsrecht, IP)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Längerer Verkaufszyklus. Arbeitsrecht/Familienrecht für Phase 0 priorisieren.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Nimmt gar keine Anrufe entgegen (komplett digitale Aufnahme)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Kein Telefon-Leidensdruck = kein Verkauf.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30+ Anwälte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Zu groß für Phase 0. Komplexe Organisation, mehrere Stakeholder. In Phase 2 erneut ansprechen.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Standort außerhalb Deutschlands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Nicht Phase-0-Gebiet. DACH-Expansion später.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Ziel-Kanzlei-Liste (20 Kanzleien aufbauen)</w:t>
      </w:r>
    </w:p>
    <w:p>
      <w:pPr>
        <w:pStyle w:val="Heading3"/>
      </w:pPr>
      <w:r>
        <w:t>Wie man sie findet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Methode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anwalt.de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Suche „Fachanwalt für Arbeitsrecht" + Stadt. Nach Kanzleigröße filtern.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Google Maps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„Rechtsanwalt Arbeitsrecht [Stadt]" → Kanzlei-Websites auf Teamgröße prüfen.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DAV-Mitgliederverzeichnis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Suche nach Rechtsgebiet und Region.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BRAK-Anwaltsverzeichnis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Offizielles Verzeichnis. Weniger detailliert, aber umfassend.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LinkedIn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Suche „Kanzleiinhaber" + „Arbeitsrecht" + Region.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BNI-Netzwerk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Um Vorstellungen von Anwälten im Chapter oder deren Kontakten bitten.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legalXchange-Teilnehmer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Teilnehmerliste der Konferenz (falls verfügbar).</w:t>
            </w:r>
          </w:p>
        </w:tc>
      </w:tr>
    </w:tbl>
    <w:p/>
    <w:p>
      <w:pPr>
        <w:pStyle w:val="Heading3"/>
      </w:pPr>
      <w:r>
        <w:t>Zielregionen (Phase 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Region</w:t>
            </w:r>
          </w:p>
        </w:tc>
        <w:tc>
          <w:tcPr>
            <w:tcW w:type="dxa" w:w="4703"/>
            <w:shd w:fill="2d2d44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NRW (Düsseldorf, Köln, Essen)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Höchste Dichte mittelgroßer Kanzleien. Industrielles Kernland = hohes Arbeitsrecht-Volumen.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Bayern (München, Nürnberg)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Wohlhabende Kanzleien, technikoffene geschäftsführende Partner.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Berlin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Startup-nah, höhere Technologie-Akzeptanz.</w:t>
            </w:r>
          </w:p>
        </w:tc>
      </w:tr>
      <w:tr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b/>
                <w:color w:val="333333"/>
                <w:sz w:val="19"/>
              </w:rPr>
              <w:t>Hamburg</w:t>
            </w:r>
          </w:p>
        </w:tc>
        <w:tc>
          <w:tcPr>
            <w:tcW w:type="dxa" w:w="4703"/>
            <w:shd w:fill="F5F5F8" w:val="clear"/>
          </w:tcPr>
          <w:p>
            <w:r/>
            <w:r>
              <w:rPr>
                <w:rFonts w:ascii="Calibri" w:hAnsi="Calibri"/>
                <w:color w:val="333333"/>
                <w:sz w:val="19"/>
              </w:rPr>
              <w:t>Starke Arbeitsrecht-Szene, Hafen-/Logistik-Industrie treibt Volumen.</w:t>
            </w:r>
          </w:p>
        </w:tc>
      </w:tr>
    </w:tbl>
    <w:p/>
    <w:p>
      <w:pPr>
        <w:spacing w:before="120" w:after="120"/>
        <w:jc w:val="center"/>
      </w:pPr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88888"/>
          <w:sz w:val="18"/>
        </w:rPr>
        <w:t>Erstellt: März 2026</w:t>
      </w:r>
    </w:p>
    <w:p>
      <w:r>
        <w:rPr>
          <w:i/>
          <w:color w:val="888888"/>
          <w:sz w:val="18"/>
        </w:rPr>
        <w:t>Status: Operativ — Zielliste von 20 Kanzleien diese Woche aufbauen</w:t>
      </w:r>
    </w:p>
    <w:p>
      <w:r>
        <w:rPr>
          <w:i/>
          <w:color w:val="888888"/>
          <w:sz w:val="18"/>
        </w:rPr>
        <w:t>Nächster Schritt: 20 Arbeitsrecht-Kanzleien in NRW + Bayern recherchieren, Outreach-Nachrichten vorbereiten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D2D4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Calibri" w:hAnsi="Calibri"/>
      <w:b/>
      <w:bCs/>
      <w:color w:val="3D3D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