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 — Kanzlei-Nachweis: Brücke zur v4-Expansion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Feld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Dokument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Phase 0 Brücke — Wie der Kanzlei-Nachweis die v4-Expansion unterstützt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Datum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2026-03-18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333333"/>
                <w:sz w:val="19"/>
              </w:rPr>
              <w:t>Klassifizierung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Intern — Nur für den Gründer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Brücke in einem Satz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„Jede Kanzlei-Installation generiert eine Fallstudie, ein Template, einen ElevenLabs-Nutzungsnachweis und einen RA-MICRO-Gesprächseinstieg. Phase 0 ist nicht das Geschäft — es ist das Fundament, auf dem das Geschäft steht."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Was Phase 0 produziert</w:t>
      </w:r>
    </w:p>
    <w:p>
      <w:pPr>
        <w:pStyle w:val="Heading3"/>
      </w:pPr>
      <w:r>
        <w:t>1. Fallstudien (für Steuerberater-Expansion)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Von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„10 Kanzleien nutzen unsere KI-Assistenz"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„Steuerkanzleien haben dieselben Probleme. Hier sind die Daten."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Arbeitsrecht-Audit-Daten (verpasste Anrufe, Fristen)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Übertragen auf: Abgabefristen, verpasste Mandanten in der Steuersaison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Namentlich genannte Kanzlei-Referenzen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Social Proof für professionelle Dienstleistungen allgemein</w:t>
            </w:r>
          </w:p>
        </w:tc>
      </w:tr>
    </w:tbl>
    <w:p/>
    <w:p>
      <w:r>
        <w:rPr>
          <w:rFonts w:ascii="Calibri" w:hAnsi="Calibri"/>
          <w:b/>
          <w:color w:val="333333"/>
          <w:sz w:val="21"/>
        </w:rPr>
        <w:t>Der Brücken-Pitch an Steuerberater:</w:t>
      </w:r>
    </w:p>
    <w:p>
      <w:pPr>
        <w:spacing w:before="120" w:after="120"/>
        <w:ind w:left="567"/>
      </w:pPr>
      <w:r>
        <w:rPr>
          <w:rFonts w:ascii="Calibri" w:hAnsi="Calibri"/>
          <w:i/>
          <w:color w:val="555555"/>
          <w:sz w:val="20"/>
        </w:rPr>
        <w:t>„Wir haben für 10 Rechtsanwaltskanzleien die KI-Kanzleiassistenz gebaut. Die Kanzleien fangen damit im Durchschnitt [X] Mandatsanfragen pro Monat auf, die sonst verloren gegangen wären. Steuerkanzleien haben genau dasselbe Problem — besonders in der Steuersaison. Wollen Sie einen 2-Wochen-Audit?"</w:t>
      </w:r>
    </w:p>
    <w:p>
      <w:pPr>
        <w:pStyle w:val="Heading3"/>
      </w:pPr>
      <w:r>
        <w:t>2. Rechtsgebiet-Templates (für Onboarding-Effizienz)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Erstellt während Phase 0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Wiederverwendung für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Arbeitsrecht-Aufnahme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Erste 3 Installationen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Alle zukünftigen Arbeitsrecht-Kanzleien (80% Wiederverwendung)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Familienrecht-Aufnahme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Installation 4-5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Alle zukünftigen Familienrecht-Kanzleien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Mietrecht-Aufnahme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Installation 5-7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Alle zukünftigen Mietrecht-Kanzleien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Allgemeine Kanzlei-FAQ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Alle Installationen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Template für Steuerberater-FAQ (70% Wiederverwendung)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Buchungsablauf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Alle Installationen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Identisch für alle Vertikalen (95% Wiederverwendung)</w:t>
            </w:r>
          </w:p>
        </w:tc>
      </w:tr>
    </w:tbl>
    <w:p/>
    <w:p>
      <w:r>
        <w:rPr>
          <w:rFonts w:ascii="Calibri" w:hAnsi="Calibri"/>
          <w:b/>
          <w:color w:val="333333"/>
          <w:sz w:val="21"/>
        </w:rPr>
        <w:t>Template-Ökonomie: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Phase-0-Installation 1: 10 Stunden Einrichtung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Phase-0-Installation 5: 4 Stunden Einrichtung (Template ausgereift)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Phase-1-Installation 15: 2 Stunden Einrichtung (vollautomatisiert)</w:t>
      </w:r>
    </w:p>
    <w:p>
      <w:pPr>
        <w:pStyle w:val="Heading3"/>
      </w:pPr>
      <w:r>
        <w:t>3. ElevenLabs-Partnerschaft Nachweis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Phase-0-Metrik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Partnerschaftswert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10 Kanzlei-Installationen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„Ich habe 10 aktive Installationen auf Ihrer Plattform"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~15.000-30.000 Minuten/Monat Gesamtnutzung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„$1.200-2.400/Monat an ElevenLabs-Plattformumsatz"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Multi-Agenten-System in Produktion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„Das anspruchsvollste deutschsprachige Deployment auf ElevenLabs"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Vertikale Go-to-Market-Strategie bewiesen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„Ich bringe Ihnen DACH Professional Services — angefangen mit Legal, expandierend auf 100K+ Unternehmen"</w:t>
            </w:r>
          </w:p>
        </w:tc>
      </w:tr>
    </w:tbl>
    <w:p/>
    <w:p>
      <w:r>
        <w:rPr>
          <w:rFonts w:ascii="Calibri" w:hAnsi="Calibri"/>
          <w:b/>
          <w:color w:val="333333"/>
          <w:sz w:val="21"/>
        </w:rPr>
        <w:t>CPA-Verhandlungshebel: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JETZT für Partnerprogramm bewerben (Woche 1)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CPA bei Installation 5-8 umsetzen (Monat 2-3)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Verhandeln: Partner-Credits für PoCs, Co-Marketing (Fallstudien-Blogpost), Prioritäts-Support</w:t>
      </w:r>
    </w:p>
    <w:p>
      <w:pPr>
        <w:pStyle w:val="Heading3"/>
      </w:pPr>
      <w:r>
        <w:t>4. RA-MICRO-Gesprächseinstieg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Wann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Installation 1-3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RA-MICRO-kompatiblen CSV-Export für Kontakt-/Mandatsimport bauen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Installation 5-10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„10 Kanzleien nutzen unsere KI-Assistenz. Alle nutzen RA-MICRO. Wir generieren RA-MICRO-importierbare Datensätze. Reden wir über eine tiefere Integration?"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Installation 10+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Formelle Kooperationspartnerschaft mit technischem API-Zugang verhandeln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0 → Phase 1 Übergangskriterien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Kriterium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Schwellenwert</w:t>
            </w:r>
          </w:p>
        </w:tc>
        <w:tc>
          <w:tcPr>
            <w:tcW w:type="dxa" w:w="3135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Warum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Zahlende Kunden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10+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Genug, um wiederholbare Verkäufe zu beweisen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MRR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€5K+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Deckt grundlegende Gründerkosten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Rechtsgebiet-Templates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3+ praxiserprobt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Onboarding ist effizient genug zum Skalieren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Anruf-Audit → Bezahlt-Konversionsrate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&gt;40%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Vertriebsbewegung ist validiert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Kundenzufriedenheit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NPS &gt;30 oder 3+ bereit als namentliche Referenzen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Produktqualität ist validiert</w:t>
            </w:r>
          </w:p>
        </w:tc>
      </w:tr>
      <w:tr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ElevenLabs CPA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Umgesetzt</w:t>
            </w:r>
          </w:p>
        </w:tc>
        <w:tc>
          <w:tcPr>
            <w:tcW w:type="dxa" w:w="3135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Partnerschaftskanal ist aktiv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Fallstudien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2+ mit namentlichen Kanzleien und echten Daten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Marketing-Assets für Phase 1 Outreach</w:t>
            </w:r>
          </w:p>
        </w:tc>
      </w:tr>
    </w:tbl>
    <w:p/>
    <w:p>
      <w:pPr>
        <w:pStyle w:val="Heading3"/>
      </w:pPr>
      <w:r>
        <w:t>Wenn Kriterien erfüllt sind: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Preise auf volle v4-Stufen anheben (Phase-0-Einrichtungsrabatte entfernen)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Erste Einstellung veröffentlichen (Customer Success)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Steuerberater-Outreach beginnen (Phase 2)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DATEV-Partnerschaftsantrag einreichen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RA-MICRO-Partnerschaftsgespräch starten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DAV Legal Tech Kooperationspartnerschaft beantragen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0 → v4-Strategie-Ausrichtung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v4-Strategieziel</w:t>
            </w:r>
          </w:p>
        </w:tc>
        <w:tc>
          <w:tcPr>
            <w:tcW w:type="dxa" w:w="4703"/>
            <w:shd w:fill="2d2d44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Phase-0-Beitrag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Plattformunternehmen (eigenes IP, eigene Kunden)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Jede Installation läuft auf UNSERER Plattform, nicht nur ElevenLabs. Buchung, CRM, Dashboard = unser Burggraben.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Multi-Vertikal DACH-Expansion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Kanzlei-Templates übertragen sich zu 70-80% auf Steuerberater. Fallstudien übertragen sich als Social Proof.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ElevenLabs-Partnerschaft (Beschleuniger, keine Abhängigkeit)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Echter Nutzungsumsatz. Technische Referenz. Aber unsere Plattform hält die Kundenbeziehung.</w:t>
            </w:r>
          </w:p>
        </w:tc>
      </w:tr>
      <w:tr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RA-MICRO-Integrationsgraben</w:t>
            </w:r>
          </w:p>
        </w:tc>
        <w:tc>
          <w:tcPr>
            <w:tcW w:type="dxa" w:w="4703"/>
            <w:shd w:fill="F5F5F8" w:val="clear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CSV-Export in Phase 0 → API-Integration in Phase 1 → tiefe Kooperationspartnerschaft in Phase 2.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€25K MRR in 12 Monaten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333333"/>
                <w:sz w:val="19"/>
              </w:rPr>
              <w:t>Phase 0 trägt €5-8K MRR bei. Phase-1-Ramp fügt €10-17K hinzu. Steuerberater-Expansion bringt den Rest.</w:t>
            </w:r>
          </w:p>
        </w:tc>
      </w:tr>
    </w:tbl>
    <w:p/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Was Phase 0 NICHT werden darf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Kein Dienstleistungsunternehmen.</w:t>
      </w:r>
      <w:r>
        <w:rPr>
          <w:rFonts w:ascii="Calibri" w:hAnsi="Calibri"/>
          <w:color w:val="333333"/>
          <w:sz w:val="21"/>
        </w:rPr>
        <w:t xml:space="preserve"> Wenn wir 20+ Stunden Custom-Arbeit pro Kanzlei leisten, ist das Modell kaputt. Templates müssen Onboarding reduzieren.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Kein ElevenLabs-Reseller.</w:t>
      </w:r>
      <w:r>
        <w:rPr>
          <w:rFonts w:ascii="Calibri" w:hAnsi="Calibri"/>
          <w:color w:val="333333"/>
          <w:sz w:val="21"/>
        </w:rPr>
        <w:t xml:space="preserve"> Wenn unser einziger Wert „wir konfigurieren ElevenLabs für Sie" ist, sind wir eine Beratung. Die Plattform (Buchung, CRM, Dashboard) IST das Produkt.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Kein Hallo-Kira-Klon.</w:t>
      </w:r>
      <w:r>
        <w:rPr>
          <w:rFonts w:ascii="Calibri" w:hAnsi="Calibri"/>
          <w:color w:val="333333"/>
          <w:sz w:val="21"/>
        </w:rPr>
        <w:t xml:space="preserve"> Wenn wir nur Telefone für €499/Monat annehmen, sind wir eine überteuerte Version von Kira. Die Qualifizierungstiefe, Buchung und das Dashboard rechtfertigen den Aufpreis.</w:t>
      </w:r>
    </w:p>
    <w:p>
      <w:pPr>
        <w:pStyle w:val="ListBullet"/>
      </w:pPr>
      <w:r>
        <w:rPr>
          <w:rFonts w:ascii="Calibri" w:hAnsi="Calibri"/>
          <w:b/>
          <w:color w:val="333333"/>
          <w:sz w:val="21"/>
        </w:rPr>
        <w:t>Kein Dauerzustand.</w:t>
      </w:r>
      <w:r>
        <w:rPr>
          <w:rFonts w:ascii="Calibri" w:hAnsi="Calibri"/>
          <w:color w:val="333333"/>
          <w:sz w:val="21"/>
        </w:rPr>
        <w:t xml:space="preserve"> Phase 0 endet bei 10 Kunden. Danach gelten Phase-1-Regeln — höhere Preise, mehr Templates, erste Einstellung, Expansionsvorbereitung.</w:t>
      </w:r>
    </w:p>
    <w:p>
      <w:pPr>
        <w:spacing w:before="120" w:after="120"/>
        <w:jc w:val="center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8888"/>
          <w:sz w:val="18"/>
        </w:rPr>
        <w:t>Erstellt: März 2026</w:t>
      </w:r>
    </w:p>
    <w:p>
      <w:r>
        <w:rPr>
          <w:i/>
          <w:color w:val="888888"/>
          <w:sz w:val="18"/>
        </w:rPr>
        <w:t>Status: Operativ — Phase 0 beginnt jetzt, Brücken-Metriken wöchentlich nachverfolgt</w:t>
      </w:r>
    </w:p>
    <w:p>
      <w:r>
        <w:rPr>
          <w:i/>
          <w:color w:val="888888"/>
          <w:sz w:val="18"/>
        </w:rPr>
        <w:t>Nächster Schritt: Phase 0 Woche 1 ausführen (Produkt-Verkabelung), dann Woche 2 (Outreach + legalXchange-Vorbereitung)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