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80" w:after="80"/>
        <w:pBdr>
          <w:bottom w:val="single" w:sz="18" w:space="1" w:color="00336B"/>
        </w:pBdr>
      </w:pPr>
    </w:p>
    <w:p>
      <w:pPr>
        <w:spacing w:before="480" w:after="80"/>
        <w:jc w:val="left"/>
      </w:pPr>
      <w:r>
        <w:rPr>
          <w:rFonts w:ascii="Arial" w:hAnsi="Arial"/>
          <w:color w:val="005B96"/>
          <w:sz w:val="24"/>
        </w:rPr>
        <w:t>Document 05</w:t>
        <w:br/>
      </w:r>
      <w:r>
        <w:rPr>
          <w:rFonts w:ascii="Arial" w:hAnsi="Arial"/>
          <w:b/>
          <w:color w:val="00336B"/>
          <w:sz w:val="64"/>
        </w:rPr>
        <w:t>Proof to v3 Bridge</w:t>
      </w:r>
    </w:p>
    <w:p>
      <w:pPr>
        <w:spacing w:after="320"/>
        <w:jc w:val="left"/>
      </w:pPr>
      <w:r>
        <w:rPr>
          <w:rFonts w:ascii="Arial" w:hAnsi="Arial"/>
          <w:i/>
          <w:color w:val="005B96"/>
          <w:sz w:val="28"/>
        </w:rPr>
        <w:t>Phase 0 — How 5 SMB customers unlock the mid-market strategy</w:t>
      </w:r>
    </w:p>
    <w:p>
      <w:pPr>
        <w:spacing w:before="80" w:after="80"/>
        <w:pBdr>
          <w:bottom w:val="single" w:sz="6" w:space="1" w:color="005B96"/>
        </w:pBdr>
      </w:pP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Author:  </w:t>
      </w:r>
      <w:r>
        <w:rPr>
          <w:rFonts w:ascii="Arial" w:hAnsi="Arial"/>
          <w:color w:val="333333"/>
          <w:sz w:val="20"/>
        </w:rPr>
        <w:t>Remington Splettstoesser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Brand:  </w:t>
      </w:r>
      <w:r>
        <w:rPr>
          <w:rFonts w:ascii="Arial" w:hAnsi="Arial"/>
          <w:color w:val="333333"/>
          <w:sz w:val="20"/>
        </w:rPr>
        <w:t>sevenlayers — by Vound Brand UG (haftungsbeschränkt)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Date:  </w:t>
      </w:r>
      <w:r>
        <w:rPr>
          <w:rFonts w:ascii="Arial" w:hAnsi="Arial"/>
          <w:color w:val="333333"/>
          <w:sz w:val="20"/>
        </w:rPr>
        <w:t>March 2026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Classification:  </w:t>
      </w:r>
      <w:r>
        <w:rPr>
          <w:rFonts w:ascii="Arial" w:hAnsi="Arial"/>
          <w:color w:val="333333"/>
          <w:sz w:val="20"/>
        </w:rPr>
        <w:t>Internal — Founder's Eyes Only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Status:  </w:t>
      </w:r>
      <w:r>
        <w:rPr>
          <w:rFonts w:ascii="Arial" w:hAnsi="Arial"/>
          <w:color w:val="333333"/>
          <w:sz w:val="20"/>
        </w:rPr>
        <w:t>Operative — Phase 0 Tactical Playbook</w:t>
      </w:r>
    </w:p>
    <w:p>
      <w:r>
        <w:br w:type="page"/>
      </w:r>
    </w:p>
    <w:p>
      <w:pPr>
        <w:spacing w:before="80" w:after="80"/>
        <w:pBdr>
          <w:bottom w:val="single" w:sz="12" w:space="1" w:color="00336B"/>
        </w:pBdr>
      </w:pPr>
    </w:p>
    <w:p>
      <w:pPr>
        <w:pStyle w:val="Heading1"/>
      </w:pPr>
      <w:r>
        <w:t>What 5 SMB Customers Produce for v3</w:t>
      </w:r>
    </w:p>
    <w:p>
      <w:r>
        <w:rPr>
          <w:rFonts w:ascii="Arial" w:hAnsi="Arial"/>
          <w:b w:val="0"/>
          <w:i w:val="0"/>
          <w:color w:val="333333"/>
          <w:sz w:val="21"/>
        </w:rPr>
        <w:t>Every Phase 0 customer is an investment in the mid-market strategy. Here's exactly what 5 paying SMB customers unlock:</w:t>
      </w:r>
    </w:p>
    <w:p>
      <w:pPr>
        <w:pStyle w:val="Heading2"/>
      </w:pPr>
      <w:r>
        <w:t>1. Case Studies with Real Data</w:t>
      </w:r>
    </w:p>
    <w:p>
      <w:r>
        <w:rPr>
          <w:rFonts w:ascii="Arial" w:hAnsi="Arial"/>
          <w:b w:val="0"/>
          <w:i w:val="0"/>
          <w:color w:val="333333"/>
          <w:sz w:val="21"/>
        </w:rPr>
        <w:t>Before/after metrics that mid-market buyers need to see before writing a €35K check: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Missed calls reduced from X% to Y%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Average response time dropped from Z minutes to under 10 seconds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Appointments booked per week increased by N%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Lead-to-appointment conversion improved by M%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Owner hours reclaimed per week</w:t>
      </w:r>
    </w:p>
    <w:p>
      <w:r>
        <w:rPr>
          <w:rFonts w:ascii="Arial" w:hAnsi="Arial"/>
          <w:b w:val="0"/>
          <w:i w:val="0"/>
          <w:color w:val="333333"/>
          <w:sz w:val="21"/>
        </w:rPr>
        <w:t>These aren't projections. They're measurements from real businesses.</w:t>
      </w:r>
    </w:p>
    <w:p>
      <w:pPr>
        <w:pStyle w:val="Heading2"/>
      </w:pPr>
      <w:r>
        <w:t>2. Battle-Tested Demo</w:t>
      </w:r>
    </w:p>
    <w:p>
      <w:r>
        <w:rPr>
          <w:rFonts w:ascii="Arial" w:hAnsi="Arial"/>
          <w:b w:val="0"/>
          <w:i w:val="0"/>
          <w:color w:val="333333"/>
          <w:sz w:val="21"/>
        </w:rPr>
        <w:t>5 deployments = 5 rounds of tuning. Each customer surfaces edge cases, dialect variations, industry-specific language, and operational patterns. The demo a mid-market prospect sees in Phase 1 will be dramatically better than the one the first SMB customer saw.</w:t>
      </w:r>
    </w:p>
    <w:p>
      <w:pPr>
        <w:pStyle w:val="Heading2"/>
      </w:pPr>
      <w:r>
        <w:t>3. Objection Immunity</w:t>
      </w:r>
    </w:p>
    <w:p>
      <w:r>
        <w:rPr>
          <w:rFonts w:ascii="Arial" w:hAnsi="Arial"/>
          <w:b w:val="0"/>
          <w:i w:val="0"/>
          <w:color w:val="333333"/>
          <w:sz w:val="21"/>
        </w:rPr>
        <w:t>The single most damaging objection in enterprise sales: "Have you done this before?"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"Yes. Five businesses are running on this right now. Here are their names, their results, and their phone numbers if you want to call them."</w:t>
      </w:r>
    </w:p>
    <w:p>
      <w:r>
        <w:rPr>
          <w:rFonts w:ascii="Arial" w:hAnsi="Arial"/>
          <w:b w:val="0"/>
          <w:i w:val="0"/>
          <w:color w:val="333333"/>
          <w:sz w:val="21"/>
        </w:rPr>
        <w:t>This is not a nice-to-have. This is table stakes for any deal above €10K.</w:t>
      </w:r>
    </w:p>
    <w:p>
      <w:pPr>
        <w:pStyle w:val="Heading2"/>
      </w:pPr>
      <w:r>
        <w:t>4. Pricing Confidence</w:t>
      </w:r>
    </w:p>
    <w:p>
      <w:r>
        <w:rPr>
          <w:rFonts w:ascii="Arial" w:hAnsi="Arial"/>
          <w:b w:val="0"/>
          <w:i w:val="0"/>
          <w:color w:val="333333"/>
          <w:sz w:val="21"/>
        </w:rPr>
        <w:t>Phase 0 reveals what the market actually pays for. After 5 customers: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Which agents deliver the most perceived value?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What's the willingness-to-pay range?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What does the customer talk about when they describe the product to someone else?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Which features do they use daily vs. which do they forget exist?</w:t>
      </w:r>
    </w:p>
    <w:p>
      <w:pPr>
        <w:pStyle w:val="Heading2"/>
      </w:pPr>
      <w:r>
        <w:t>5. Vertical Signal</w:t>
      </w:r>
    </w:p>
    <w:p>
      <w:r>
        <w:rPr>
          <w:rFonts w:ascii="Arial" w:hAnsi="Arial"/>
          <w:b w:val="0"/>
          <w:i w:val="0"/>
          <w:color w:val="333333"/>
          <w:sz w:val="21"/>
        </w:rPr>
        <w:t>Strategy documents hypothesize verticals. Customer data reveals them. After 5 customers: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If 3 are in the same industry, you have a vertical to own.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If they're spread across 5 industries, you have horizontal proof.</w:t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Principle: </w:t>
      </w:r>
      <w:r>
        <w:rPr>
          <w:rFonts w:ascii="Arial" w:hAnsi="Arial"/>
          <w:color w:val="333333"/>
          <w:sz w:val="21"/>
        </w:rPr>
        <w:t>The vertical strategy crystallizes from deployment data, not market research.</w:t>
      </w:r>
    </w:p>
    <w:p>
      <w:pPr>
        <w:pStyle w:val="Heading2"/>
      </w:pPr>
      <w:r>
        <w:t>6. Revenue</w:t>
      </w:r>
    </w:p>
    <w:p>
      <w:r>
        <w:rPr>
          <w:rFonts w:ascii="Arial" w:hAnsi="Arial"/>
          <w:b w:val="0"/>
          <w:i w:val="0"/>
          <w:color w:val="333333"/>
          <w:sz w:val="21"/>
        </w:rPr>
        <w:t>€10-15K MRR funds continued operation while selling upmarket. It's not venture-scale money — it's enough to keep building, keep selling, and not need to raise capital from a position of desperation. Phase 0 revenue buys time. Time buys options.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Phase Gates</w:t>
      </w:r>
    </w:p>
    <w:p>
      <w:pPr>
        <w:pStyle w:val="Heading2"/>
      </w:pPr>
      <w:r>
        <w:t>Phase 0 → Phase 1 Gate</w:t>
      </w:r>
    </w:p>
    <w:p>
      <w:r>
        <w:rPr>
          <w:rFonts w:ascii="Arial" w:hAnsi="Arial"/>
          <w:b w:val="0"/>
          <w:i w:val="0"/>
          <w:color w:val="333333"/>
          <w:sz w:val="21"/>
        </w:rPr>
        <w:t>All criteria must be met before Phase 1 execution begins: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3+ paying customers retained 2+ months. </w:t>
      </w:r>
      <w:r>
        <w:rPr>
          <w:rFonts w:ascii="Arial" w:hAnsi="Arial"/>
          <w:color w:val="333333"/>
          <w:sz w:val="21"/>
        </w:rPr>
        <w:t>Not just signed — retained. They renewed because the product delivers value.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2+ case studies with permission to use name/logo/data. </w:t>
      </w:r>
      <w:r>
        <w:rPr>
          <w:rFonts w:ascii="Arial" w:hAnsi="Arial"/>
          <w:color w:val="333333"/>
          <w:sz w:val="21"/>
        </w:rPr>
        <w:t>Written, formatted, and ready to send to prospects. At least one with the customer's real name and business.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Demo agent handles 90%+ of calls without intervention. </w:t>
      </w:r>
      <w:r>
        <w:rPr>
          <w:rFonts w:ascii="Arial" w:hAnsi="Arial"/>
          <w:color w:val="333333"/>
          <w:sz w:val="21"/>
        </w:rPr>
        <w:t>The platform runs without Remington babysitting every interaction.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One clear vertical pattern emerged. </w:t>
      </w:r>
      <w:r>
        <w:rPr>
          <w:rFonts w:ascii="Arial" w:hAnsi="Arial"/>
          <w:color w:val="333333"/>
          <w:sz w:val="21"/>
        </w:rPr>
        <w:t>The data from 5 deployments shows a cluster.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€10K+ MRR. </w:t>
      </w:r>
      <w:r>
        <w:rPr>
          <w:rFonts w:ascii="Arial" w:hAnsi="Arial"/>
          <w:color w:val="333333"/>
          <w:sz w:val="21"/>
        </w:rPr>
        <w:t>Enough recurring revenue to fund solo operations for the next phase.</w:t>
      </w:r>
    </w:p>
    <w:p>
      <w:pPr>
        <w:pStyle w:val="Heading2"/>
      </w:pPr>
      <w:r>
        <w:t>Phase 1 → Phase 2 Gate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10+ paying customers. </w:t>
      </w:r>
      <w:r>
        <w:rPr>
          <w:rFonts w:ascii="Arial" w:hAnsi="Arial"/>
          <w:color w:val="333333"/>
          <w:sz w:val="21"/>
        </w:rPr>
        <w:t>Scale beyond what one person can manually manage.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Inbound inquiries happening. </w:t>
      </w:r>
      <w:r>
        <w:rPr>
          <w:rFonts w:ascii="Arial" w:hAnsi="Arial"/>
          <w:color w:val="333333"/>
          <w:sz w:val="21"/>
        </w:rPr>
        <w:t>People finding sevenlayers without Remington reaching out first.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One vertical dominates. </w:t>
      </w:r>
      <w:r>
        <w:rPr>
          <w:rFonts w:ascii="Arial" w:hAnsi="Arial"/>
          <w:color w:val="333333"/>
          <w:sz w:val="21"/>
        </w:rPr>
        <w:t>Not just "we have customers in dental" but a repeatable motion.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€30K+ MRR. </w:t>
      </w:r>
      <w:r>
        <w:rPr>
          <w:rFonts w:ascii="Arial" w:hAnsi="Arial"/>
          <w:color w:val="333333"/>
          <w:sz w:val="21"/>
        </w:rPr>
        <w:t>Revenue that funds a small team or meaningful go-to-market investment.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Can articulate what capital would accelerate. </w:t>
      </w:r>
      <w:r>
        <w:rPr>
          <w:rFonts w:ascii="Arial" w:hAnsi="Arial"/>
          <w:color w:val="333333"/>
          <w:sz w:val="21"/>
        </w:rPr>
        <w:t>A specific, defensible answer to "what would you do with €1M?"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The Bridge: Phase 0 →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28"/>
        <w:gridCol w:w="2928"/>
        <w:gridCol w:w="2928"/>
      </w:tblGrid>
      <w:tr>
        <w:tc>
          <w:tcPr>
            <w:tcW w:type="dxa" w:w="259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 0 Produces</w:t>
            </w:r>
          </w:p>
        </w:tc>
        <w:tc>
          <w:tcPr>
            <w:tcW w:type="dxa" w:w="259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v3 Requires</w:t>
            </w:r>
          </w:p>
        </w:tc>
        <w:tc>
          <w:tcPr>
            <w:tcW w:type="dxa" w:w="3744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 SMB case studies</w:t>
            </w:r>
          </w:p>
        </w:tc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Proof that platform works</w:t>
            </w:r>
          </w:p>
        </w:tc>
        <w:tc>
          <w:tcPr>
            <w:tcW w:type="dxa" w:w="374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"Here are 5 businesses running on sevenlayers today."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Real before/after data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ROI justification for €35K+</w:t>
            </w:r>
          </w:p>
        </w:tc>
        <w:tc>
          <w:tcPr>
            <w:tcW w:type="dxa" w:w="374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"Average customer reduces missed calls by X%."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Battle-tested demo</w:t>
            </w:r>
          </w:p>
        </w:tc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Flawless mid-market demo</w:t>
            </w:r>
          </w:p>
        </w:tc>
        <w:tc>
          <w:tcPr>
            <w:tcW w:type="dxa" w:w="374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 deployments = 5 rounds of hardening.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Customer testimonials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Social proof for buying committee</w:t>
            </w:r>
          </w:p>
        </w:tc>
        <w:tc>
          <w:tcPr>
            <w:tcW w:type="dxa" w:w="374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"Call these business owners. Ask them directly."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Vertical signal</w:t>
            </w:r>
          </w:p>
        </w:tc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Vertical-specific go-to-market</w:t>
            </w:r>
          </w:p>
        </w:tc>
        <w:tc>
          <w:tcPr>
            <w:tcW w:type="dxa" w:w="374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Data reveals the vertical; v3 strategy owns it.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Pricing data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Confident v3 tier pricing</w:t>
            </w:r>
          </w:p>
        </w:tc>
        <w:tc>
          <w:tcPr>
            <w:tcW w:type="dxa" w:w="374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Real willingness-to-pay data replaces hypotheses.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€10-15K MRR</w:t>
            </w:r>
          </w:p>
        </w:tc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Operational funding</w:t>
            </w:r>
          </w:p>
        </w:tc>
        <w:tc>
          <w:tcPr>
            <w:tcW w:type="dxa" w:w="374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Revenue buys time to sell upmarket.</w:t>
            </w:r>
          </w:p>
        </w:tc>
      </w:tr>
    </w:tbl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The Pitch to Yourself</w:t>
      </w:r>
    </w:p>
    <w:p>
      <w:r>
        <w:rPr>
          <w:rFonts w:ascii="Arial" w:hAnsi="Arial"/>
          <w:b w:val="0"/>
          <w:i/>
          <w:color w:val="666666"/>
          <w:sz w:val="21"/>
        </w:rPr>
        <w:t>Read this when Phase 0 feels slow, or when the temptation to skip to v3 pricing kicks in.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The v3 strategy is right. The mid-market is where the real money is. But mid-market buyers don't buy from strangers with no track record. Phase 0 gives you the track record. It's not a distraction from the vision — it's the fastest path to it.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Every €2K/month SMB customer generates a case study worth €35K in mid-market credibility. Every trial that converts proves the product works. Every testimonial you collect is ammunition for the buying committee you'll face in Phase 1.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You're not undercharging. You're investing. The return isn't in the €2K/month — it's in the proof that makes €35K/month possible.</w:t>
      </w:r>
    </w:p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Remember: </w:t>
      </w:r>
      <w:r>
        <w:rPr>
          <w:rFonts w:ascii="Arial" w:hAnsi="Arial"/>
          <w:color w:val="333333"/>
          <w:sz w:val="21"/>
        </w:rPr>
        <w:t>Five customers. Ninety days. Then the real strategy begins.</w:t>
      </w:r>
    </w:p>
    <w:sectPr w:rsidR="00FC693F" w:rsidRPr="0006063C" w:rsidSect="00034616">
      <w:footerReference w:type="default" r:id="rId9"/>
      <w:pgSz w:w="12240" w:h="15840"/>
      <w:pgMar w:top="1440" w:right="1728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CCC"/>
      </w:pBdr>
    </w:pPr>
    <w:r>
      <w:rPr>
        <w:rFonts w:ascii="Arial" w:hAnsi="Arial"/>
        <w:color w:val="666666"/>
        <w:sz w:val="16"/>
      </w:rPr>
      <w:t xml:space="preserve">Phase 0 — Proof to v3 Bridge — Confidential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120" w:line="300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33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3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5B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