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80" w:after="80"/>
        <w:pBdr>
          <w:bottom w:val="single" w:sz="18" w:space="1" w:color="00336B"/>
        </w:pBdr>
      </w:pPr>
    </w:p>
    <w:p>
      <w:pPr>
        <w:spacing w:before="480" w:after="80"/>
        <w:jc w:val="left"/>
      </w:pPr>
      <w:r>
        <w:rPr>
          <w:rFonts w:ascii="Arial" w:hAnsi="Arial"/>
          <w:color w:val="005B96"/>
          <w:sz w:val="24"/>
        </w:rPr>
        <w:t>Document 07</w:t>
        <w:br/>
      </w:r>
      <w:r>
        <w:rPr>
          <w:rFonts w:ascii="Arial" w:hAnsi="Arial"/>
          <w:b/>
          <w:color w:val="00336B"/>
          <w:sz w:val="64"/>
        </w:rPr>
        <w:t>Referral &amp; Commission</w:t>
        <w:br/>
        <w:t>Structure</w:t>
      </w:r>
    </w:p>
    <w:p>
      <w:pPr>
        <w:spacing w:after="320"/>
        <w:jc w:val="left"/>
      </w:pPr>
      <w:r>
        <w:rPr>
          <w:rFonts w:ascii="Arial" w:hAnsi="Arial"/>
          <w:i/>
          <w:color w:val="005B96"/>
          <w:sz w:val="28"/>
        </w:rPr>
        <w:t>Phase 0 — Turn your network into your sales team</w:t>
      </w:r>
    </w:p>
    <w:p>
      <w:pPr>
        <w:spacing w:before="80" w:after="80"/>
        <w:pBdr>
          <w:bottom w:val="single" w:sz="6" w:space="1" w:color="005B96"/>
        </w:pBdr>
      </w:pP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Author:  </w:t>
      </w:r>
      <w:r>
        <w:rPr>
          <w:rFonts w:ascii="Arial" w:hAnsi="Arial"/>
          <w:color w:val="333333"/>
          <w:sz w:val="20"/>
        </w:rPr>
        <w:t>Remington Splettstoesser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Brand:  </w:t>
      </w:r>
      <w:r>
        <w:rPr>
          <w:rFonts w:ascii="Arial" w:hAnsi="Arial"/>
          <w:color w:val="333333"/>
          <w:sz w:val="20"/>
        </w:rPr>
        <w:t>sevenlayers — by Vound Brand UG (haftungsbeschränkt)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Date:  </w:t>
      </w:r>
      <w:r>
        <w:rPr>
          <w:rFonts w:ascii="Arial" w:hAnsi="Arial"/>
          <w:color w:val="333333"/>
          <w:sz w:val="20"/>
        </w:rPr>
        <w:t>March 2026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Classification:  </w:t>
      </w:r>
      <w:r>
        <w:rPr>
          <w:rFonts w:ascii="Arial" w:hAnsi="Arial"/>
          <w:color w:val="333333"/>
          <w:sz w:val="20"/>
        </w:rPr>
        <w:t>Internal — Founder's Eyes Only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Status:  </w:t>
      </w:r>
      <w:r>
        <w:rPr>
          <w:rFonts w:ascii="Arial" w:hAnsi="Arial"/>
          <w:color w:val="333333"/>
          <w:sz w:val="20"/>
        </w:rPr>
        <w:t>Operative — Phase 0 Tactical Playbook</w:t>
      </w:r>
    </w:p>
    <w:p>
      <w:r>
        <w:br w:type="page"/>
      </w:r>
    </w:p>
    <w:p>
      <w:pPr>
        <w:spacing w:before="80" w:after="80"/>
        <w:pBdr>
          <w:bottom w:val="single" w:sz="12" w:space="1" w:color="00336B"/>
        </w:pBdr>
      </w:pPr>
    </w:p>
    <w:p>
      <w:pPr>
        <w:pStyle w:val="Heading1"/>
      </w:pPr>
      <w:r>
        <w:t>One-Sentence Strategy</w:t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Philosophy: </w:t>
      </w:r>
      <w:r>
        <w:rPr>
          <w:rFonts w:ascii="Arial" w:hAnsi="Arial"/>
          <w:color w:val="333333"/>
          <w:sz w:val="21"/>
        </w:rPr>
        <w:t>Your friends' contact lists are your sales team. Pay them well enough to remember you, not so much that you can't eat.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The Commission Structure</w:t>
      </w:r>
    </w:p>
    <w:p>
      <w:pPr>
        <w:pStyle w:val="Heading2"/>
      </w:pPr>
      <w:r>
        <w:t>20% of the first 3 months' revenue. Paid as the customer pays.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2"/>
        <w:gridCol w:w="4392"/>
      </w:tblGrid>
      <w:tr>
        <w:tc>
          <w:tcPr>
            <w:tcW w:type="dxa" w:w="259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6336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Commission rate</w:t>
            </w:r>
          </w:p>
        </w:tc>
        <w:tc>
          <w:tcPr>
            <w:tcW w:type="dxa" w:w="633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20% of monthly invoice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Duration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First 3 months of a paying customer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Payout timing</w:t>
            </w:r>
          </w:p>
        </w:tc>
        <w:tc>
          <w:tcPr>
            <w:tcW w:type="dxa" w:w="633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Paid after each customer payment clears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Trigger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Customer signs and pays first invoice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Cap</w:t>
            </w:r>
          </w:p>
        </w:tc>
        <w:tc>
          <w:tcPr>
            <w:tcW w:type="dxa" w:w="633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3 months per referred customer, then commission stops</w:t>
            </w:r>
          </w:p>
        </w:tc>
      </w:tr>
    </w:tbl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pStyle w:val="Heading2"/>
      </w:pPr>
      <w:r>
        <w:t>Example Payouts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59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Customer monthly rate</w:t>
            </w:r>
          </w:p>
        </w:tc>
        <w:tc>
          <w:tcPr>
            <w:tcW w:type="dxa" w:w="1296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Month 1</w:t>
            </w:r>
          </w:p>
        </w:tc>
        <w:tc>
          <w:tcPr>
            <w:tcW w:type="dxa" w:w="1296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Month 2</w:t>
            </w:r>
          </w:p>
        </w:tc>
        <w:tc>
          <w:tcPr>
            <w:tcW w:type="dxa" w:w="1296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Month 3</w:t>
            </w:r>
          </w:p>
        </w:tc>
        <w:tc>
          <w:tcPr>
            <w:tcW w:type="dxa" w:w="1440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Total payout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€2,000/mo</w:t>
            </w:r>
          </w:p>
        </w:tc>
        <w:tc>
          <w:tcPr>
            <w:tcW w:type="dxa" w:w="129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€400</w:t>
            </w:r>
          </w:p>
        </w:tc>
        <w:tc>
          <w:tcPr>
            <w:tcW w:type="dxa" w:w="129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€400</w:t>
            </w:r>
          </w:p>
        </w:tc>
        <w:tc>
          <w:tcPr>
            <w:tcW w:type="dxa" w:w="129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€400</w:t>
            </w:r>
          </w:p>
        </w:tc>
        <w:tc>
          <w:tcPr>
            <w:tcW w:type="dxa" w:w="144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€1,200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€2,500/mo</w:t>
            </w:r>
          </w:p>
        </w:tc>
        <w:tc>
          <w:tcPr>
            <w:tcW w:type="dxa" w:w="129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€500</w:t>
            </w:r>
          </w:p>
        </w:tc>
        <w:tc>
          <w:tcPr>
            <w:tcW w:type="dxa" w:w="129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€500</w:t>
            </w:r>
          </w:p>
        </w:tc>
        <w:tc>
          <w:tcPr>
            <w:tcW w:type="dxa" w:w="1296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€500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€1,500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€3,000/mo</w:t>
            </w:r>
          </w:p>
        </w:tc>
        <w:tc>
          <w:tcPr>
            <w:tcW w:type="dxa" w:w="129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€600</w:t>
            </w:r>
          </w:p>
        </w:tc>
        <w:tc>
          <w:tcPr>
            <w:tcW w:type="dxa" w:w="129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€600</w:t>
            </w:r>
          </w:p>
        </w:tc>
        <w:tc>
          <w:tcPr>
            <w:tcW w:type="dxa" w:w="1296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€600</w:t>
            </w:r>
          </w:p>
        </w:tc>
        <w:tc>
          <w:tcPr>
            <w:tcW w:type="dxa" w:w="144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€1,800</w:t>
            </w:r>
          </w:p>
        </w:tc>
      </w:tr>
    </w:tbl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pStyle w:val="Heading2"/>
      </w:pPr>
      <w:r>
        <w:t>Early Churn Protection</w:t>
      </w:r>
    </w:p>
    <w:p>
      <w:r>
        <w:rPr>
          <w:rFonts w:ascii="Arial" w:hAnsi="Arial"/>
          <w:b w:val="0"/>
          <w:i w:val="0"/>
          <w:color w:val="333333"/>
          <w:sz w:val="21"/>
        </w:rPr>
        <w:t>Commission tracks the customer, not the calendar. No advance payouts, no clawbacks needed — the structure handles it naturally.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2"/>
        <w:gridCol w:w="4392"/>
      </w:tblGrid>
      <w:tr>
        <w:tc>
          <w:tcPr>
            <w:tcW w:type="dxa" w:w="3744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5184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Referrer receives</w:t>
            </w:r>
          </w:p>
        </w:tc>
      </w:tr>
      <w:tr>
        <w:tc>
          <w:tcPr>
            <w:tcW w:type="dxa" w:w="374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Customer pays 3+ months</w:t>
            </w:r>
          </w:p>
        </w:tc>
        <w:tc>
          <w:tcPr>
            <w:tcW w:type="dxa" w:w="518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Full commission (3 months × 20%)</w:t>
            </w:r>
          </w:p>
        </w:tc>
      </w:tr>
      <w:tr>
        <w:tc>
          <w:tcPr>
            <w:tcW w:type="dxa" w:w="374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Customer churns after month 2</w:t>
            </w:r>
          </w:p>
        </w:tc>
        <w:tc>
          <w:tcPr>
            <w:tcW w:type="dxa" w:w="518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2 months × 20%</w:t>
            </w:r>
          </w:p>
        </w:tc>
      </w:tr>
      <w:tr>
        <w:tc>
          <w:tcPr>
            <w:tcW w:type="dxa" w:w="374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Customer churns after month 1</w:t>
            </w:r>
          </w:p>
        </w:tc>
        <w:tc>
          <w:tcPr>
            <w:tcW w:type="dxa" w:w="518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1 month × 20%</w:t>
            </w:r>
          </w:p>
        </w:tc>
      </w:tr>
      <w:tr>
        <w:tc>
          <w:tcPr>
            <w:tcW w:type="dxa" w:w="374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Customer never pays after trial</w:t>
            </w:r>
          </w:p>
        </w:tc>
        <w:tc>
          <w:tcPr>
            <w:tcW w:type="dxa" w:w="518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€0</w:t>
            </w:r>
          </w:p>
        </w:tc>
      </w:tr>
    </w:tbl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Why 20% × 3 Months</w:t>
      </w:r>
    </w:p>
    <w:p>
      <w:pPr>
        <w:pStyle w:val="Heading2"/>
      </w:pPr>
      <w:r>
        <w:t>Why not first month only?</w:t>
      </w:r>
    </w:p>
    <w:p>
      <w:r>
        <w:rPr>
          <w:rFonts w:ascii="Arial" w:hAnsi="Arial"/>
          <w:b w:val="0"/>
          <w:i w:val="0"/>
          <w:color w:val="333333"/>
          <w:sz w:val="21"/>
        </w:rPr>
        <w:t>€400–600 for an introduction is forgettable. People won't actively think about who in their network needs this. The commission has to be large enough that when they're at dinner with a business owner friend, they remember you exist.</w:t>
      </w:r>
    </w:p>
    <w:p>
      <w:pPr>
        <w:pStyle w:val="Heading2"/>
      </w:pPr>
      <w:r>
        <w:t>Why not 6 or 12 months?</w:t>
      </w:r>
    </w:p>
    <w:p>
      <w:r>
        <w:rPr>
          <w:rFonts w:ascii="Arial" w:hAnsi="Arial"/>
          <w:b w:val="0"/>
          <w:i w:val="0"/>
          <w:color w:val="333333"/>
          <w:sz w:val="21"/>
        </w:rPr>
        <w:t>At 5 customers all from referrals (worst case), 20% × 12 months = €30,000+ in commission on a business doing €150K ARR with zero runway. That's 20% of gross revenue gone. Unsustainable at Phase 0.</w:t>
      </w:r>
    </w:p>
    <w:p>
      <w:pPr>
        <w:pStyle w:val="Heading2"/>
      </w:pPr>
      <w:r>
        <w:t>Why not a flat fee?</w:t>
      </w:r>
    </w:p>
    <w:p>
      <w:r>
        <w:rPr>
          <w:rFonts w:ascii="Arial" w:hAnsi="Arial"/>
          <w:b w:val="0"/>
          <w:i w:val="0"/>
          <w:color w:val="333333"/>
          <w:sz w:val="21"/>
        </w:rPr>
        <w:t>"20% Provision" is a story. "€1,000 Vermittlungsprämie" is a transaction. The percentage creates the feeling that they're participating in something — a cut of something real. It also scales naturally: if a customer pays €3K instead of €2K, the referrer benefits too. Alignment.</w:t>
      </w:r>
    </w:p>
    <w:p>
      <w:pPr>
        <w:pStyle w:val="Heading2"/>
      </w:pPr>
      <w:r>
        <w:t>The Math at Full Phase 0 Capacity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28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Customers</w:t>
            </w:r>
          </w:p>
        </w:tc>
        <w:tc>
          <w:tcPr>
            <w:tcW w:type="dxa" w:w="187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All from referrals?</w:t>
            </w:r>
          </w:p>
        </w:tc>
        <w:tc>
          <w:tcPr>
            <w:tcW w:type="dxa" w:w="1728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Total commission</w:t>
            </w:r>
          </w:p>
        </w:tc>
        <w:tc>
          <w:tcPr>
            <w:tcW w:type="dxa" w:w="1584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% of Year 1 revenue</w:t>
            </w:r>
          </w:p>
        </w:tc>
      </w:tr>
      <w:tr>
        <w:tc>
          <w:tcPr>
            <w:tcW w:type="dxa" w:w="172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Conservative</w:t>
            </w:r>
          </w:p>
        </w:tc>
        <w:tc>
          <w:tcPr>
            <w:tcW w:type="dxa" w:w="144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5 at €2K</w:t>
            </w:r>
          </w:p>
        </w:tc>
        <w:tc>
          <w:tcPr>
            <w:tcW w:type="dxa" w:w="187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Yes (worst case)</w:t>
            </w:r>
          </w:p>
        </w:tc>
        <w:tc>
          <w:tcPr>
            <w:tcW w:type="dxa" w:w="172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€6,000</w:t>
            </w:r>
          </w:p>
        </w:tc>
        <w:tc>
          <w:tcPr>
            <w:tcW w:type="dxa" w:w="158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5%</w:t>
            </w:r>
          </w:p>
        </w:tc>
      </w:tr>
      <w:tr>
        <w:tc>
          <w:tcPr>
            <w:tcW w:type="dxa" w:w="1728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Target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5 at €2.5K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3 from referrals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€4,500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3%</w:t>
            </w:r>
          </w:p>
        </w:tc>
      </w:tr>
      <w:tr>
        <w:tc>
          <w:tcPr>
            <w:tcW w:type="dxa" w:w="172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Optimistic</w:t>
            </w:r>
          </w:p>
        </w:tc>
        <w:tc>
          <w:tcPr>
            <w:tcW w:type="dxa" w:w="144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5 at €3K</w:t>
            </w:r>
          </w:p>
        </w:tc>
        <w:tc>
          <w:tcPr>
            <w:tcW w:type="dxa" w:w="187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2 from referrals</w:t>
            </w:r>
          </w:p>
        </w:tc>
        <w:tc>
          <w:tcPr>
            <w:tcW w:type="dxa" w:w="172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€3,600</w:t>
            </w:r>
          </w:p>
        </w:tc>
        <w:tc>
          <w:tcPr>
            <w:tcW w:type="dxa" w:w="158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2%</w:t>
            </w:r>
          </w:p>
        </w:tc>
      </w:tr>
    </w:tbl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Verdict: </w:t>
      </w:r>
      <w:r>
        <w:rPr>
          <w:rFonts w:ascii="Arial" w:hAnsi="Arial"/>
          <w:color w:val="333333"/>
          <w:sz w:val="21"/>
        </w:rPr>
        <w:t>At 2–5% of Year 1 revenue, the commission structure is cheap for what it buys: warm introductions to decision-makers you'd never reach cold.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Two Referrer Profiles</w:t>
      </w:r>
    </w:p>
    <w:p>
      <w:pPr>
        <w:pStyle w:val="Heading2"/>
      </w:pPr>
      <w:r>
        <w:t>Profile A: The Casual Referrer</w:t>
      </w:r>
    </w:p>
    <w:p>
      <w:pPr>
        <w:spacing w:before="160" w:after="160"/>
        <w:ind w:left="432"/>
        <w:pBdr>
          <w:left w:val="single" w:sz="12" w:space="8" w:color="CCCCCC"/>
        </w:pBdr>
      </w:pPr>
      <w:r>
        <w:rPr>
          <w:rFonts w:ascii="Arial" w:hAnsi="Arial"/>
          <w:i/>
          <w:color w:val="666666"/>
          <w:sz w:val="21"/>
        </w:rPr>
        <w:t>"Oh, my friend Marcus has a dental practice — he complains about missed calls all the time."</w:t>
      </w:r>
    </w:p>
    <w:p>
      <w:r>
        <w:rPr>
          <w:rFonts w:ascii="Arial" w:hAnsi="Arial"/>
          <w:b w:val="0"/>
          <w:i w:val="0"/>
          <w:color w:val="333333"/>
          <w:sz w:val="21"/>
        </w:rPr>
        <w:t>What they do: Send you one name, maybe make an introduction via WhatsApp, then forget about it.</w:t>
      </w:r>
    </w:p>
    <w:p>
      <w:r>
        <w:rPr>
          <w:rFonts w:ascii="Arial" w:hAnsi="Arial"/>
          <w:b w:val="0"/>
          <w:i w:val="0"/>
          <w:color w:val="333333"/>
          <w:sz w:val="21"/>
        </w:rPr>
        <w:t>Commission expectation: One referral, one payout. Low maintenance.</w:t>
      </w:r>
    </w:p>
    <w:p>
      <w:r>
        <w:rPr>
          <w:rFonts w:ascii="Arial" w:hAnsi="Arial"/>
          <w:b w:val="0"/>
          <w:i w:val="0"/>
          <w:color w:val="333333"/>
          <w:sz w:val="21"/>
        </w:rPr>
        <w:t>How to handle: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Thank them immediately when they send the name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Keep them updated: "Hab mit Marcus telefoniert, Demo läuft nächste Woche"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Pay fast when the customer signs — within 7 days of first customer payment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Send a short message when each commission payment goes out</w:t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Key: </w:t>
      </w:r>
      <w:r>
        <w:rPr>
          <w:rFonts w:ascii="Arial" w:hAnsi="Arial"/>
          <w:color w:val="333333"/>
          <w:sz w:val="21"/>
        </w:rPr>
        <w:t>Fast, transparent payouts turn casual referrers into repeat referrers.</w:t>
      </w:r>
    </w:p>
    <w:p>
      <w:pPr>
        <w:pStyle w:val="Heading2"/>
      </w:pPr>
      <w:r>
        <w:t>Profile B: The Active Seller</w:t>
      </w:r>
    </w:p>
    <w:p>
      <w:pPr>
        <w:spacing w:before="160" w:after="160"/>
        <w:ind w:left="432"/>
        <w:pBdr>
          <w:left w:val="single" w:sz="12" w:space="8" w:color="CCCCCC"/>
        </w:pBdr>
      </w:pPr>
      <w:r>
        <w:rPr>
          <w:rFonts w:ascii="Arial" w:hAnsi="Arial"/>
          <w:i/>
          <w:color w:val="666666"/>
          <w:sz w:val="21"/>
        </w:rPr>
        <w:t>"I know a lot of business owners. How does this work — can I sell it?"</w:t>
      </w:r>
    </w:p>
    <w:p>
      <w:r>
        <w:rPr>
          <w:rFonts w:ascii="Arial" w:hAnsi="Arial"/>
          <w:b w:val="0"/>
          <w:i w:val="0"/>
          <w:color w:val="333333"/>
          <w:sz w:val="21"/>
        </w:rPr>
        <w:t>What they do: Actively pitch to multiple contacts. Treat this like a side hustle.</w:t>
      </w:r>
    </w:p>
    <w:p>
      <w:r>
        <w:rPr>
          <w:rFonts w:ascii="Arial" w:hAnsi="Arial"/>
          <w:b w:val="0"/>
          <w:i w:val="0"/>
          <w:color w:val="333333"/>
          <w:sz w:val="21"/>
        </w:rPr>
        <w:t>Commission expectation: Multiple referrals, recurring payouts.</w:t>
      </w:r>
    </w:p>
    <w:p>
      <w:r>
        <w:rPr>
          <w:rFonts w:ascii="Arial" w:hAnsi="Arial"/>
          <w:b w:val="0"/>
          <w:i w:val="0"/>
          <w:color w:val="333333"/>
          <w:sz w:val="21"/>
        </w:rPr>
        <w:t>How to handle: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Give them the DM script to forward or adapt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Give them the demo number so they can experience it themselves first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Brief them on the three pain signals: missed calls, scheduling chaos, slow follow-up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Weekly check-in if they're actively working leads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Consider a shared WhatsApp group or simple tracker if volume warrants it</w:t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Key: </w:t>
      </w:r>
      <w:r>
        <w:rPr>
          <w:rFonts w:ascii="Arial" w:hAnsi="Arial"/>
          <w:color w:val="333333"/>
          <w:sz w:val="21"/>
        </w:rPr>
        <w:t>Active sellers are rare and valuable. If someone emerges in Phase 0, invest time in them — they're your proto-sales team.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What a Referrer Needs</w:t>
      </w:r>
    </w:p>
    <w:p>
      <w:r>
        <w:rPr>
          <w:rFonts w:ascii="Arial" w:hAnsi="Arial"/>
          <w:b w:val="0"/>
          <w:i w:val="0"/>
          <w:color w:val="333333"/>
          <w:sz w:val="21"/>
        </w:rPr>
        <w:t>Don't expect referrers to pitch the product. Their job is to make the introduction. Your job is to close.</w:t>
      </w:r>
    </w:p>
    <w:p>
      <w:pPr>
        <w:pStyle w:val="Heading2"/>
      </w:pPr>
      <w:r>
        <w:t>The minimum a referrer needs: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1. </w:t>
      </w:r>
      <w:r>
        <w:rPr>
          <w:rFonts w:ascii="Arial" w:hAnsi="Arial"/>
          <w:color w:val="333333"/>
          <w:sz w:val="21"/>
        </w:rPr>
        <w:t>The DM script — ready to forward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2. </w:t>
      </w:r>
      <w:r>
        <w:rPr>
          <w:rFonts w:ascii="Arial" w:hAnsi="Arial"/>
          <w:color w:val="333333"/>
          <w:sz w:val="21"/>
        </w:rPr>
        <w:t>The demo number — so they can say "just call this"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3. </w:t>
      </w:r>
      <w:r>
        <w:rPr>
          <w:rFonts w:ascii="Arial" w:hAnsi="Arial"/>
          <w:color w:val="333333"/>
          <w:sz w:val="21"/>
        </w:rPr>
        <w:t>One sentence: "Mein Kumpel hat ein KI-Team gebaut, das dein Büro führt. Ruf mal diese Nummer an."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4. </w:t>
      </w:r>
      <w:r>
        <w:rPr>
          <w:rFonts w:ascii="Arial" w:hAnsi="Arial"/>
          <w:color w:val="333333"/>
          <w:sz w:val="21"/>
        </w:rPr>
        <w:t>The URL: sevenlayers.io</w:t>
      </w:r>
    </w:p>
    <w:p>
      <w:pPr>
        <w:pStyle w:val="Heading2"/>
      </w:pPr>
      <w:r>
        <w:t>What they do NOT need: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Pricing details (you handle that in the demo call)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Technical explanation (the demo handles that)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Slide decks, PDFs, or feature lists (the product sells itself)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A formal agreement (keep it casual in Phase 0)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Commission Communication</w:t>
      </w:r>
    </w:p>
    <w:p>
      <w:pPr>
        <w:pStyle w:val="Heading2"/>
      </w:pPr>
      <w:r>
        <w:t>In the DM (simple):</w:t>
      </w:r>
    </w:p>
    <w:p>
      <w:pPr>
        <w:spacing w:before="160" w:after="160"/>
        <w:ind w:left="432"/>
        <w:pBdr>
          <w:left w:val="single" w:sz="12" w:space="8" w:color="CCCCCC"/>
        </w:pBdr>
      </w:pPr>
      <w:r>
        <w:rPr>
          <w:rFonts w:ascii="Arial" w:hAnsi="Arial"/>
          <w:i/>
          <w:color w:val="666666"/>
          <w:sz w:val="21"/>
        </w:rPr>
        <w:t>Empfehlungen: 20 % Provision. Kein Spaß.</w:t>
      </w:r>
    </w:p>
    <w:p>
      <w:pPr>
        <w:pStyle w:val="Heading2"/>
      </w:pPr>
      <w:r>
        <w:t>When someone asks "20% wovon?":</w:t>
      </w:r>
    </w:p>
    <w:p>
      <w:pPr>
        <w:spacing w:before="160" w:after="160"/>
        <w:ind w:left="432"/>
        <w:pBdr>
          <w:left w:val="single" w:sz="12" w:space="8" w:color="CCCCCC"/>
        </w:pBdr>
      </w:pPr>
      <w:r>
        <w:rPr>
          <w:rFonts w:ascii="Arial" w:hAnsi="Arial"/>
          <w:i/>
          <w:color w:val="666666"/>
          <w:sz w:val="21"/>
        </w:rPr>
        <w:t>"20 Prozent auf die ersten drei Monate. Bei 2.500 im Monat sind das 1.500 Euro für dich — dafür, dass du mir jemanden vorstellst. Ausgezahlt wird, sobald der Kunde zahlt."</w:t>
      </w:r>
    </w:p>
    <w:p>
      <w:pPr>
        <w:pStyle w:val="Heading2"/>
      </w:pPr>
      <w:r>
        <w:t>When someone asks for more details:</w:t>
      </w:r>
    </w:p>
    <w:p>
      <w:pPr>
        <w:spacing w:before="160" w:after="160"/>
        <w:ind w:left="432"/>
        <w:pBdr>
          <w:left w:val="single" w:sz="12" w:space="8" w:color="CCCCCC"/>
        </w:pBdr>
      </w:pPr>
      <w:r>
        <w:rPr>
          <w:rFonts w:ascii="Arial" w:hAnsi="Arial"/>
          <w:i/>
          <w:color w:val="666666"/>
          <w:sz w:val="21"/>
        </w:rPr>
        <w:t>"Ganz einfach: Du stellst mich vor. Ich mache Demo, Trial, Onboarding — alles. Wenn der Kunde unterschreibt, bekommst du 20 Prozent auf die ersten drei Monatszahlungen. Kein Vertrag, kein Kleingedrucktes."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Phase Transitions</w:t>
      </w:r>
    </w:p>
    <w:p>
      <w:pPr>
        <w:pStyle w:val="Heading2"/>
      </w:pPr>
      <w:r>
        <w:t>Phase 0 → Phase 1 (after 5 customers)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28"/>
        <w:gridCol w:w="2928"/>
        <w:gridCol w:w="2928"/>
      </w:tblGrid>
      <w:tr>
        <w:tc>
          <w:tcPr>
            <w:tcW w:type="dxa" w:w="2160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880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 0</w:t>
            </w:r>
          </w:p>
        </w:tc>
        <w:tc>
          <w:tcPr>
            <w:tcW w:type="dxa" w:w="3888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 1</w:t>
            </w:r>
          </w:p>
        </w:tc>
      </w:tr>
      <w:tr>
        <w:tc>
          <w:tcPr>
            <w:tcW w:type="dxa" w:w="216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Commission base</w:t>
            </w:r>
          </w:p>
        </w:tc>
        <w:tc>
          <w:tcPr>
            <w:tcW w:type="dxa" w:w="288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Monthly revenue only</w:t>
            </w:r>
          </w:p>
        </w:tc>
        <w:tc>
          <w:tcPr>
            <w:tcW w:type="dxa" w:w="388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Setup fee + monthly revenue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Rate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20% × 3 months</w:t>
            </w:r>
          </w:p>
        </w:tc>
        <w:tc>
          <w:tcPr>
            <w:tcW w:type="dxa" w:w="3888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15% of setup + 10% × 3 months recurring</w:t>
            </w:r>
          </w:p>
        </w:tc>
      </w:tr>
      <w:tr>
        <w:tc>
          <w:tcPr>
            <w:tcW w:type="dxa" w:w="216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Example payout</w:t>
            </w:r>
          </w:p>
        </w:tc>
        <w:tc>
          <w:tcPr>
            <w:tcW w:type="dxa" w:w="288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€1,500 on €2.5K/mo customer</w:t>
            </w:r>
          </w:p>
        </w:tc>
        <w:tc>
          <w:tcPr>
            <w:tcW w:type="dxa" w:w="388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€1,500 setup + €750 recurring = €2,250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Formality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WhatsApp confirmation</w:t>
            </w:r>
          </w:p>
        </w:tc>
        <w:tc>
          <w:tcPr>
            <w:tcW w:type="dxa" w:w="3888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1-page referral agreement</w:t>
            </w:r>
          </w:p>
        </w:tc>
      </w:tr>
    </w:tbl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pStyle w:val="Heading2"/>
      </w:pPr>
      <w:r>
        <w:t>Phase 1 → Phase 2 (after 15 customers)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28"/>
        <w:gridCol w:w="2928"/>
        <w:gridCol w:w="2928"/>
      </w:tblGrid>
      <w:tr>
        <w:tc>
          <w:tcPr>
            <w:tcW w:type="dxa" w:w="2160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880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 1</w:t>
            </w:r>
          </w:p>
        </w:tc>
        <w:tc>
          <w:tcPr>
            <w:tcW w:type="dxa" w:w="3888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 2</w:t>
            </w:r>
          </w:p>
        </w:tc>
      </w:tr>
      <w:tr>
        <w:tc>
          <w:tcPr>
            <w:tcW w:type="dxa" w:w="216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Commission base</w:t>
            </w:r>
          </w:p>
        </w:tc>
        <w:tc>
          <w:tcPr>
            <w:tcW w:type="dxa" w:w="288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Setup + 3 months recurring</w:t>
            </w:r>
          </w:p>
        </w:tc>
        <w:tc>
          <w:tcPr>
            <w:tcW w:type="dxa" w:w="388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Setup only (or tiered by deal size)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Rate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15% setup + 10% × 3 months</w:t>
            </w:r>
          </w:p>
        </w:tc>
        <w:tc>
          <w:tcPr>
            <w:tcW w:type="dxa" w:w="3888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10–15% of setup fee</w:t>
            </w:r>
          </w:p>
        </w:tc>
      </w:tr>
      <w:tr>
        <w:tc>
          <w:tcPr>
            <w:tcW w:type="dxa" w:w="216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Example payout</w:t>
            </w:r>
          </w:p>
        </w:tc>
        <w:tc>
          <w:tcPr>
            <w:tcW w:type="dxa" w:w="288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€2,250 on €10K + €2.5K/mo deal</w:t>
            </w:r>
          </w:p>
        </w:tc>
        <w:tc>
          <w:tcPr>
            <w:tcW w:type="dxa" w:w="388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€3,500–5,250 on a €35K setup deal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Formality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1-page agreement</w:t>
            </w:r>
          </w:p>
        </w:tc>
        <w:tc>
          <w:tcPr>
            <w:tcW w:type="dxa" w:w="3888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Formal partner agreement with terms</w:t>
            </w:r>
          </w:p>
        </w:tc>
      </w:tr>
    </w:tbl>
    <w:p>
      <w:r>
        <w:rPr>
          <w:rFonts w:ascii="Arial" w:hAnsi="Arial"/>
          <w:b w:val="0"/>
          <w:i w:val="0"/>
          <w:color w:val="333333"/>
          <w:sz w:val="21"/>
        </w:rPr>
      </w:r>
    </w:p>
    <w:p>
      <w:r>
        <w:rPr>
          <w:rFonts w:ascii="Arial" w:hAnsi="Arial"/>
          <w:b w:val="0"/>
          <w:i w:val="0"/>
          <w:color w:val="333333"/>
          <w:sz w:val="21"/>
        </w:rPr>
        <w:t>The commission percentage drops as deal size grows. A 10% referral fee on a €35K setup = €3,500 — more money per deal even at a lower rate.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Rules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Pay fast. </w:t>
      </w:r>
      <w:r>
        <w:rPr>
          <w:rFonts w:ascii="Arial" w:hAnsi="Arial"/>
          <w:color w:val="333333"/>
          <w:sz w:val="21"/>
        </w:rPr>
        <w:t>Within 7 days of customer payment clearing. Slow payouts kill referral motivation faster than anything.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Pay transparently. </w:t>
      </w:r>
      <w:r>
        <w:rPr>
          <w:rFonts w:ascii="Arial" w:hAnsi="Arial"/>
          <w:color w:val="333333"/>
          <w:sz w:val="21"/>
        </w:rPr>
        <w:t>Tell the referrer when the customer signed, when payment came in, and when their commission is on the way.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Never negotiate the rate down. </w:t>
      </w:r>
      <w:r>
        <w:rPr>
          <w:rFonts w:ascii="Arial" w:hAnsi="Arial"/>
          <w:color w:val="333333"/>
          <w:sz w:val="21"/>
        </w:rPr>
        <w:t>20% × 3 months is the deal. If you can't afford it, you can't afford the customer acquisition cost of doing it yourself either.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Double introductions. </w:t>
      </w:r>
      <w:r>
        <w:rPr>
          <w:rFonts w:ascii="Arial" w:hAnsi="Arial"/>
          <w:color w:val="333333"/>
          <w:sz w:val="21"/>
        </w:rPr>
        <w:t>If two people refer the same lead, the first introduction wins. Communicate clearly if it ever comes up.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No commission on self-sourced leads. </w:t>
      </w:r>
      <w:r>
        <w:rPr>
          <w:rFonts w:ascii="Arial" w:hAnsi="Arial"/>
          <w:color w:val="333333"/>
          <w:sz w:val="21"/>
        </w:rPr>
        <w:t>If someone refers a lead you were already talking to, no commission. Handle with honesty.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Referrer ≠ salesperson. </w:t>
      </w:r>
      <w:r>
        <w:rPr>
          <w:rFonts w:ascii="Arial" w:hAnsi="Arial"/>
          <w:color w:val="333333"/>
          <w:sz w:val="21"/>
        </w:rPr>
        <w:t>The referrer makes the introduction. You do the demo, the trial, the close, and the support.</w:t>
      </w:r>
    </w:p>
    <w:sectPr w:rsidR="00FC693F" w:rsidRPr="0006063C" w:rsidSect="00034616">
      <w:footerReference w:type="default" r:id="rId9"/>
      <w:pgSz w:w="12240" w:h="15840"/>
      <w:pgMar w:top="1440" w:right="1728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CCCCCC"/>
      </w:pBdr>
    </w:pPr>
    <w:r>
      <w:rPr>
        <w:rFonts w:ascii="Arial" w:hAnsi="Arial"/>
        <w:color w:val="666666"/>
        <w:sz w:val="16"/>
      </w:rPr>
      <w:t xml:space="preserve">Phase 0 — Referral &amp; Commission — Confidential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120" w:line="300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33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3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5B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