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80" w:after="80"/>
        <w:pBdr>
          <w:bottom w:val="single" w:sz="24" w:space="1" w:color="E8520A"/>
        </w:pBdr>
      </w:pPr>
    </w:p>
    <w:p>
      <w:pPr>
        <w:spacing w:before="400" w:after="0"/>
        <w:jc w:val="left"/>
      </w:pPr>
      <w:r>
        <w:rPr>
          <w:rFonts w:ascii="Arial" w:hAnsi="Arial"/>
          <w:b/>
          <w:color w:val="E8520A"/>
          <w:sz w:val="32"/>
        </w:rPr>
        <w:t>sevenlayers</w:t>
      </w:r>
    </w:p>
    <w:p>
      <w:pPr>
        <w:spacing w:before="160" w:after="80"/>
        <w:jc w:val="left"/>
      </w:pPr>
      <w:r>
        <w:rPr>
          <w:rFonts w:ascii="Arial" w:hAnsi="Arial"/>
          <w:b/>
          <w:color w:val="0A0A0A"/>
          <w:sz w:val="68"/>
        </w:rPr>
        <w:t>Vergleichsanalyse</w:t>
        <w:br/>
        <w:t>Januar 2026</w:t>
      </w:r>
    </w:p>
    <w:p>
      <w:pPr>
        <w:spacing w:after="400"/>
        <w:jc w:val="left"/>
      </w:pPr>
      <w:r>
        <w:rPr>
          <w:rFonts w:ascii="Arial" w:hAnsi="Arial"/>
          <w:i/>
          <w:color w:val="E8520A"/>
          <w:sz w:val="28"/>
        </w:rPr>
        <w:t>Diskrepanzen zwischen Datamaster, Lauer-Fischer und BWA</w:t>
      </w:r>
    </w:p>
    <w:p>
      <w:pPr>
        <w:spacing w:before="80" w:after="80"/>
        <w:pBdr>
          <w:bottom w:val="single" w:sz="6" w:space="1" w:color="E8520A"/>
        </w:pBdr>
      </w:pPr>
    </w:p>
    <w:p>
      <w:pPr>
        <w:spacing w:before="40" w:after="40"/>
      </w:pPr>
      <w:r>
        <w:rPr>
          <w:rFonts w:ascii="Arial" w:hAnsi="Arial"/>
          <w:b/>
          <w:color w:val="0A0A0A"/>
          <w:sz w:val="20"/>
        </w:rPr>
        <w:t xml:space="preserve">Berichtsmonat:  </w:t>
      </w:r>
      <w:r>
        <w:rPr>
          <w:rFonts w:ascii="Arial" w:hAnsi="Arial"/>
          <w:color w:val="1A1A1A"/>
          <w:sz w:val="20"/>
        </w:rPr>
        <w:t>Januar 2026</w:t>
      </w:r>
    </w:p>
    <w:p>
      <w:pPr>
        <w:spacing w:before="40" w:after="40"/>
      </w:pPr>
      <w:r>
        <w:rPr>
          <w:rFonts w:ascii="Arial" w:hAnsi="Arial"/>
          <w:b/>
          <w:color w:val="0A0A0A"/>
          <w:sz w:val="20"/>
        </w:rPr>
        <w:t xml:space="preserve">Datenquellen:  </w:t>
      </w:r>
      <w:r>
        <w:rPr>
          <w:rFonts w:ascii="Arial" w:hAnsi="Arial"/>
          <w:color w:val="1A1A1A"/>
          <w:sz w:val="20"/>
        </w:rPr>
        <w:t>Datamaster (Abrechnungszentrum), Lauer-Fischer (IBV), BWA (Buchhaltung)</w:t>
      </w:r>
    </w:p>
    <w:p>
      <w:pPr>
        <w:spacing w:before="40" w:after="40"/>
      </w:pPr>
      <w:r>
        <w:rPr>
          <w:rFonts w:ascii="Arial" w:hAnsi="Arial"/>
          <w:b/>
          <w:color w:val="0A0A0A"/>
          <w:sz w:val="20"/>
        </w:rPr>
        <w:t xml:space="preserve">Klassifikation:  </w:t>
      </w:r>
      <w:r>
        <w:rPr>
          <w:rFonts w:ascii="Arial" w:hAnsi="Arial"/>
          <w:color w:val="1A1A1A"/>
          <w:sz w:val="20"/>
        </w:rPr>
        <w:t>Intern — Vertraulich</w:t>
      </w:r>
    </w:p>
    <w:p>
      <w:pPr>
        <w:spacing w:before="40" w:after="40"/>
      </w:pPr>
      <w:r>
        <w:rPr>
          <w:rFonts w:ascii="Arial" w:hAnsi="Arial"/>
          <w:b/>
          <w:color w:val="0A0A0A"/>
          <w:sz w:val="20"/>
        </w:rPr>
        <w:t xml:space="preserve">Datum:  </w:t>
      </w:r>
      <w:r>
        <w:rPr>
          <w:rFonts w:ascii="Arial" w:hAnsi="Arial"/>
          <w:color w:val="1A1A1A"/>
          <w:sz w:val="20"/>
        </w:rPr>
        <w:t>März 2026</w:t>
      </w:r>
    </w:p>
    <w:p>
      <w:r>
        <w:br w:type="page"/>
      </w:r>
    </w:p>
    <w:p>
      <w:pPr>
        <w:spacing w:before="80" w:after="80"/>
        <w:pBdr>
          <w:bottom w:val="single" w:sz="12" w:space="1" w:color="E8520A"/>
        </w:pBdr>
      </w:pPr>
    </w:p>
    <w:p>
      <w:pPr>
        <w:pStyle w:val="Heading1"/>
      </w:pPr>
      <w:r>
        <w:t>Übersicht der drei Datenquellen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type="dxa" w:w="2304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Kennzahl</w:t>
            </w:r>
          </w:p>
        </w:tc>
        <w:tc>
          <w:tcPr>
            <w:tcW w:type="dxa" w:w="2448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Datamaster (Abrechnungszentrum)</w:t>
            </w:r>
          </w:p>
        </w:tc>
        <w:tc>
          <w:tcPr>
            <w:tcW w:type="dxa" w:w="2304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Lauer-Fischer (IBV)</w:t>
            </w:r>
          </w:p>
        </w:tc>
        <w:tc>
          <w:tcPr>
            <w:tcW w:type="dxa" w:w="2160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BWA (Buchhaltung)</w:t>
            </w:r>
          </w:p>
        </w:tc>
      </w:tr>
      <w:tr>
        <w:tc>
          <w:tcPr>
            <w:tcW w:type="dxa" w:w="2304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GKV-Rezeptanzahl</w:t>
            </w:r>
          </w:p>
        </w:tc>
        <w:tc>
          <w:tcPr>
            <w:tcW w:type="dxa" w:w="244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6.385 (4224: 64 + 4225: 6.321)</w:t>
            </w:r>
          </w:p>
        </w:tc>
        <w:tc>
          <w:tcPr>
            <w:tcW w:type="dxa" w:w="2304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6.613</w:t>
            </w:r>
          </w:p>
        </w:tc>
        <w:tc>
          <w:tcPr>
            <w:tcW w:type="dxa" w:w="216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–</w:t>
            </w:r>
          </w:p>
        </w:tc>
      </w:tr>
      <w:tr>
        <w:tc>
          <w:tcPr>
            <w:tcW w:type="dxa" w:w="2304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GKV-Bruttoumsatz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600.237,02 €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631.068,81 € (inkl. MwSt)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474.751,47 € (Netto)</w:t>
            </w:r>
          </w:p>
        </w:tc>
      </w:tr>
      <w:tr>
        <w:tc>
          <w:tcPr>
            <w:tcW w:type="dxa" w:w="2304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Zuzahlung / Patientenanteile</w:t>
            </w:r>
          </w:p>
        </w:tc>
        <w:tc>
          <w:tcPr>
            <w:tcW w:type="dxa" w:w="244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19.760,65 €</w:t>
            </w:r>
          </w:p>
        </w:tc>
        <w:tc>
          <w:tcPr>
            <w:tcW w:type="dxa" w:w="2304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–</w:t>
            </w:r>
          </w:p>
        </w:tc>
        <w:tc>
          <w:tcPr>
            <w:tcW w:type="dxa" w:w="216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17.571,61 €</w:t>
            </w:r>
          </w:p>
        </w:tc>
      </w:tr>
      <w:tr>
        <w:tc>
          <w:tcPr>
            <w:tcW w:type="dxa" w:w="2304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Packungen gesamt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–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15.122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15.122</w:t>
            </w:r>
          </w:p>
        </w:tc>
      </w:tr>
      <w:tr>
        <w:tc>
          <w:tcPr>
            <w:tcW w:type="dxa" w:w="2304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Kundenkontakte</w:t>
            </w:r>
          </w:p>
        </w:tc>
        <w:tc>
          <w:tcPr>
            <w:tcW w:type="dxa" w:w="244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–</w:t>
            </w:r>
          </w:p>
        </w:tc>
        <w:tc>
          <w:tcPr>
            <w:tcW w:type="dxa" w:w="2304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6.490</w:t>
            </w:r>
          </w:p>
        </w:tc>
        <w:tc>
          <w:tcPr>
            <w:tcW w:type="dxa" w:w="216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6.490</w:t>
            </w:r>
          </w:p>
        </w:tc>
      </w:tr>
      <w:tr>
        <w:tc>
          <w:tcPr>
            <w:tcW w:type="dxa" w:w="2304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Privatrezepte</w:t>
            </w:r>
          </w:p>
        </w:tc>
        <w:tc>
          <w:tcPr>
            <w:tcW w:type="dxa" w:w="2448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–</w:t>
            </w:r>
          </w:p>
        </w:tc>
        <w:tc>
          <w:tcPr>
            <w:tcW w:type="dxa" w:w="2304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36.800,24 € (inkl. MwSt)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30.924,57 € (Netto)</w:t>
            </w:r>
          </w:p>
        </w:tc>
      </w:tr>
      <w:tr>
        <w:tc>
          <w:tcPr>
            <w:tcW w:type="dxa" w:w="2304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Gesamtumsatz Apotheke</w:t>
            </w:r>
          </w:p>
        </w:tc>
        <w:tc>
          <w:tcPr>
            <w:tcW w:type="dxa" w:w="244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–</w:t>
            </w:r>
          </w:p>
        </w:tc>
        <w:tc>
          <w:tcPr>
            <w:tcW w:type="dxa" w:w="2304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–</w:t>
            </w:r>
          </w:p>
        </w:tc>
        <w:tc>
          <w:tcPr>
            <w:tcW w:type="dxa" w:w="216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577.062,05 €</w:t>
            </w:r>
          </w:p>
        </w:tc>
      </w:tr>
    </w:tbl>
    <w:p>
      <w:pPr>
        <w:spacing w:before="80" w:after="80"/>
        <w:pBdr>
          <w:bottom w:val="single" w:sz="4" w:space="1" w:color="D5D3CE"/>
        </w:pBdr>
      </w:pPr>
    </w:p>
    <w:p>
      <w:pPr>
        <w:pStyle w:val="Heading1"/>
      </w:pPr>
      <w:r>
        <w:t>Diskrepanz 1: Rezeptanzahl — Datamaster vs. Lauer-Fischer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36"/>
        <w:gridCol w:w="4536"/>
      </w:tblGrid>
      <w:tr>
        <w:tc>
          <w:tcPr>
            <w:tcW w:type="dxa" w:w="3600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Quelle</w:t>
            </w:r>
          </w:p>
        </w:tc>
        <w:tc>
          <w:tcPr>
            <w:tcW w:type="dxa" w:w="5328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Anzahl</w:t>
            </w:r>
          </w:p>
        </w:tc>
      </w:tr>
      <w:tr>
        <w:tc>
          <w:tcPr>
            <w:tcW w:type="dxa" w:w="360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Datamaster</w:t>
            </w:r>
          </w:p>
        </w:tc>
        <w:tc>
          <w:tcPr>
            <w:tcW w:type="dxa" w:w="532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6.385 Rezepte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Lauer-Fischer</w:t>
            </w:r>
          </w:p>
        </w:tc>
        <w:tc>
          <w:tcPr>
            <w:tcW w:type="dxa" w:w="5328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6.613 GKV-Rezepte</w:t>
            </w:r>
          </w:p>
        </w:tc>
      </w:tr>
      <w:tr>
        <w:tc>
          <w:tcPr>
            <w:tcW w:type="dxa" w:w="360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Differenz</w:t>
            </w:r>
          </w:p>
        </w:tc>
        <w:tc>
          <w:tcPr>
            <w:tcW w:type="dxa" w:w="532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228 Rezepte</w:t>
            </w:r>
          </w:p>
        </w:tc>
      </w:tr>
    </w:tbl>
    <w:p>
      <w:r>
        <w:rPr>
          <w:rFonts w:ascii="Arial" w:hAnsi="Arial"/>
          <w:b w:val="0"/>
          <w:i w:val="0"/>
          <w:color w:val="1A1A1A"/>
          <w:sz w:val="21"/>
        </w:rPr>
      </w:r>
    </w:p>
    <w:p>
      <w:pPr>
        <w:spacing w:after="80"/>
      </w:pPr>
      <w:r>
        <w:rPr>
          <w:rFonts w:ascii="Arial" w:hAnsi="Arial"/>
          <w:b/>
          <w:i w:val="0"/>
          <w:color w:val="0A0A0A"/>
          <w:sz w:val="21"/>
        </w:rPr>
        <w:t>Mögliche Ursachen: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1A1A1A"/>
          <w:sz w:val="21"/>
        </w:rPr>
        <w:t xml:space="preserve">Noch nicht eingereichte Rezepte: </w:t>
      </w:r>
      <w:r>
        <w:rPr>
          <w:rFonts w:ascii="Arial" w:hAnsi="Arial"/>
          <w:color w:val="1A1A1A"/>
          <w:sz w:val="21"/>
        </w:rPr>
        <w:t>228 Rezepte wurden im Lauer-Fischer (Warenwirtschaft) erfasst, aber noch nicht beim Abrechnungszentrum eingereicht. Dies kann bei Rezepten passieren, die am Monatsende abgegeben wurden und erst im nächsten Abrechnungslauf übermittelt werden.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1A1A1A"/>
          <w:sz w:val="21"/>
        </w:rPr>
        <w:t xml:space="preserve">Retaxierte/abgelehnte Rezepte: </w:t>
      </w:r>
      <w:r>
        <w:rPr>
          <w:rFonts w:ascii="Arial" w:hAnsi="Arial"/>
          <w:color w:val="1A1A1A"/>
          <w:sz w:val="21"/>
        </w:rPr>
        <w:t>Einige Rezepte könnten vom Abrechnungszentrum als fehlerhaft zurückgewiesen worden sein und fehlen daher in den Datamaster-Daten.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1A1A1A"/>
          <w:sz w:val="21"/>
        </w:rPr>
        <w:t xml:space="preserve">Unterschiedliche Zählweise: </w:t>
      </w:r>
      <w:r>
        <w:rPr>
          <w:rFonts w:ascii="Arial" w:hAnsi="Arial"/>
          <w:color w:val="1A1A1A"/>
          <w:sz w:val="21"/>
        </w:rPr>
        <w:t>Lauer-Fischer zählt alle GKV-Rezepte inklusive Non-Rx (z.B. Hilfsmittel, Verbandmittel), während Datamaster möglicherweise nur bestimmte Rezepttypen erfasst.</w:t>
      </w:r>
    </w:p>
    <w:p>
      <w:pPr>
        <w:spacing w:before="80" w:after="80"/>
        <w:pBdr>
          <w:bottom w:val="single" w:sz="4" w:space="1" w:color="D5D3CE"/>
        </w:pBdr>
      </w:pPr>
    </w:p>
    <w:p>
      <w:pPr>
        <w:pStyle w:val="Heading1"/>
      </w:pPr>
      <w:r>
        <w:t>Diskrepanz 2: GKV-Bruttoumsatz — Datamaster vs. Lauer-Fischer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36"/>
        <w:gridCol w:w="4536"/>
      </w:tblGrid>
      <w:tr>
        <w:tc>
          <w:tcPr>
            <w:tcW w:type="dxa" w:w="3600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Quelle</w:t>
            </w:r>
          </w:p>
        </w:tc>
        <w:tc>
          <w:tcPr>
            <w:tcW w:type="dxa" w:w="5328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Betrag</w:t>
            </w:r>
          </w:p>
        </w:tc>
      </w:tr>
      <w:tr>
        <w:tc>
          <w:tcPr>
            <w:tcW w:type="dxa" w:w="360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Datamaster (Gesamt Brutto)</w:t>
            </w:r>
          </w:p>
        </w:tc>
        <w:tc>
          <w:tcPr>
            <w:tcW w:type="dxa" w:w="532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600.237,02 €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Lauer-Fischer (GKV inkl. MwSt)</w:t>
            </w:r>
          </w:p>
        </w:tc>
        <w:tc>
          <w:tcPr>
            <w:tcW w:type="dxa" w:w="5328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631.068,81 €</w:t>
            </w:r>
          </w:p>
        </w:tc>
      </w:tr>
      <w:tr>
        <w:tc>
          <w:tcPr>
            <w:tcW w:type="dxa" w:w="360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Differenz</w:t>
            </w:r>
          </w:p>
        </w:tc>
        <w:tc>
          <w:tcPr>
            <w:tcW w:type="dxa" w:w="532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30.831,79 €</w:t>
            </w:r>
          </w:p>
        </w:tc>
      </w:tr>
    </w:tbl>
    <w:p>
      <w:r>
        <w:rPr>
          <w:rFonts w:ascii="Arial" w:hAnsi="Arial"/>
          <w:b w:val="0"/>
          <w:i w:val="0"/>
          <w:color w:val="1A1A1A"/>
          <w:sz w:val="21"/>
        </w:rPr>
      </w:r>
    </w:p>
    <w:p>
      <w:pPr>
        <w:spacing w:after="80"/>
      </w:pPr>
      <w:r>
        <w:rPr>
          <w:rFonts w:ascii="Arial" w:hAnsi="Arial"/>
          <w:b/>
          <w:i w:val="0"/>
          <w:color w:val="0A0A0A"/>
          <w:sz w:val="21"/>
        </w:rPr>
        <w:t>Mögliche Ursachen: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1A1A1A"/>
          <w:sz w:val="21"/>
        </w:rPr>
        <w:t xml:space="preserve">Fehlende 228 Rezepte: </w:t>
      </w:r>
      <w:r>
        <w:rPr>
          <w:rFonts w:ascii="Arial" w:hAnsi="Arial"/>
          <w:color w:val="1A1A1A"/>
          <w:sz w:val="21"/>
        </w:rPr>
        <w:t>Diese Rezepte erklären einen Teil der Differenz (~30.831,79 € ÷ 228 ≈ 135,23 € pro Rezept im Durchschnitt).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1A1A1A"/>
          <w:sz w:val="21"/>
        </w:rPr>
        <w:t xml:space="preserve">Preiskorrekturen: </w:t>
      </w:r>
      <w:r>
        <w:rPr>
          <w:rFonts w:ascii="Arial" w:hAnsi="Arial"/>
          <w:color w:val="1A1A1A"/>
          <w:sz w:val="21"/>
        </w:rPr>
        <w:t>Das Abrechnungszentrum prüft und korrigiert Preise (z.B. Taxfehler), was zu niedrigeren Beträgen führen kann.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1A1A1A"/>
          <w:sz w:val="21"/>
        </w:rPr>
        <w:t xml:space="preserve">Standort 4224 Besonderheit: </w:t>
      </w:r>
      <w:r>
        <w:rPr>
          <w:rFonts w:ascii="Arial" w:hAnsi="Arial"/>
          <w:color w:val="1A1A1A"/>
          <w:sz w:val="21"/>
        </w:rPr>
        <w:t>Die 64 Rezepte von Standort 4224 haben keinen Rohertrag und keinen Rabattbetrag (beide 0,00 €), was auf Sprechstundenbedarf oder eine besondere Abrechnungsart hindeutet.</w:t>
      </w:r>
    </w:p>
    <w:p>
      <w:pPr>
        <w:spacing w:before="80" w:after="80"/>
        <w:pBdr>
          <w:bottom w:val="single" w:sz="4" w:space="1" w:color="D5D3CE"/>
        </w:pBdr>
      </w:pPr>
    </w:p>
    <w:p>
      <w:pPr>
        <w:pStyle w:val="Heading1"/>
      </w:pPr>
      <w:r>
        <w:t>Diskrepanz 3: GKV-Umsatz — Lauer-Fischer (Brutto) vs. BWA (Netto)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36"/>
        <w:gridCol w:w="4536"/>
      </w:tblGrid>
      <w:tr>
        <w:tc>
          <w:tcPr>
            <w:tcW w:type="dxa" w:w="3600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Quelle</w:t>
            </w:r>
          </w:p>
        </w:tc>
        <w:tc>
          <w:tcPr>
            <w:tcW w:type="dxa" w:w="5328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Betrag</w:t>
            </w:r>
          </w:p>
        </w:tc>
      </w:tr>
      <w:tr>
        <w:tc>
          <w:tcPr>
            <w:tcW w:type="dxa" w:w="360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Lauer-Fischer (GKV inkl. MwSt)</w:t>
            </w:r>
          </w:p>
        </w:tc>
        <w:tc>
          <w:tcPr>
            <w:tcW w:type="dxa" w:w="532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631.068,81 €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BWA (KK-Umsatz gesamt)</w:t>
            </w:r>
          </w:p>
        </w:tc>
        <w:tc>
          <w:tcPr>
            <w:tcW w:type="dxa" w:w="5328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474.751,47 €</w:t>
            </w:r>
          </w:p>
        </w:tc>
      </w:tr>
      <w:tr>
        <w:tc>
          <w:tcPr>
            <w:tcW w:type="dxa" w:w="360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Differenz</w:t>
            </w:r>
          </w:p>
        </w:tc>
        <w:tc>
          <w:tcPr>
            <w:tcW w:type="dxa" w:w="532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156.317,34 € (ca. 24,8%)</w:t>
            </w:r>
          </w:p>
        </w:tc>
      </w:tr>
    </w:tbl>
    <w:p>
      <w:r>
        <w:rPr>
          <w:rFonts w:ascii="Arial" w:hAnsi="Arial"/>
          <w:b w:val="0"/>
          <w:i w:val="0"/>
          <w:color w:val="1A1A1A"/>
          <w:sz w:val="21"/>
        </w:rPr>
      </w:r>
    </w:p>
    <w:p>
      <w:pPr>
        <w:spacing w:before="160" w:after="160"/>
        <w:ind w:left="288"/>
        <w:pBdr>
          <w:left w:val="single" w:sz="18" w:space="8" w:color="E8520A"/>
        </w:pBdr>
      </w:pPr>
      <w:r>
        <w:rPr>
          <w:rFonts w:ascii="Arial" w:hAnsi="Arial"/>
          <w:b/>
          <w:color w:val="E8520A"/>
          <w:sz w:val="21"/>
        </w:rPr>
        <w:t xml:space="preserve">Einordnung: </w:t>
      </w:r>
      <w:r>
        <w:rPr>
          <w:rFonts w:ascii="Arial" w:hAnsi="Arial"/>
          <w:color w:val="1A1A1A"/>
          <w:sz w:val="21"/>
        </w:rPr>
        <w:t>Dies ist die größte Diskrepanz, aber sie ist systematisch erklärbar.</w:t>
      </w:r>
    </w:p>
    <w:p>
      <w:r>
        <w:rPr>
          <w:rFonts w:ascii="Arial" w:hAnsi="Arial"/>
          <w:b w:val="0"/>
          <w:i w:val="0"/>
          <w:color w:val="1A1A1A"/>
          <w:sz w:val="21"/>
        </w:rPr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1A1A1A"/>
          <w:sz w:val="21"/>
        </w:rPr>
        <w:t xml:space="preserve">MwSt-Differenz: </w:t>
      </w:r>
      <w:r>
        <w:rPr>
          <w:rFonts w:ascii="Arial" w:hAnsi="Arial"/>
          <w:color w:val="1A1A1A"/>
          <w:sz w:val="21"/>
        </w:rPr>
        <w:t>Lauer-Fischer zeigt Bruttobeträge inkl. MwSt (7% bzw. 19%), die BWA bucht Nettoumsätze.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1A1A1A"/>
          <w:sz w:val="21"/>
        </w:rPr>
        <w:t xml:space="preserve">Kassenabschläge: </w:t>
      </w:r>
      <w:r>
        <w:rPr>
          <w:rFonts w:ascii="Arial" w:hAnsi="Arial"/>
          <w:color w:val="1A1A1A"/>
          <w:sz w:val="21"/>
        </w:rPr>
        <w:t>Der gesetzliche Apothekenabschlag (ca. 2,00 € pro Rx bei 6.613 Rezepten ≈ 13.226 €).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1A1A1A"/>
          <w:sz w:val="21"/>
        </w:rPr>
        <w:t xml:space="preserve">Herstellerrabatte (§130a SGB V): </w:t>
      </w:r>
      <w:r>
        <w:rPr>
          <w:rFonts w:ascii="Arial" w:hAnsi="Arial"/>
          <w:color w:val="1A1A1A"/>
          <w:sz w:val="21"/>
        </w:rPr>
        <w:t>Diese werden vom Kassenbrutto abgezogen und an die Krankenkassen weitergeleitet.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1A1A1A"/>
          <w:sz w:val="21"/>
        </w:rPr>
        <w:t xml:space="preserve">Retaxierungen und Absetzungen: </w:t>
      </w:r>
      <w:r>
        <w:rPr>
          <w:rFonts w:ascii="Arial" w:hAnsi="Arial"/>
          <w:color w:val="1A1A1A"/>
          <w:sz w:val="21"/>
        </w:rPr>
        <w:t>Korrekturen durch Krankenkassen, die den Abrechnungsbetrag reduzieren.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1A1A1A"/>
          <w:sz w:val="21"/>
        </w:rPr>
        <w:t xml:space="preserve">Abgrenzung: </w:t>
      </w:r>
      <w:r>
        <w:rPr>
          <w:rFonts w:ascii="Arial" w:hAnsi="Arial"/>
          <w:color w:val="1A1A1A"/>
          <w:sz w:val="21"/>
        </w:rPr>
        <w:t>Die BWA bildet den tatsächlich vereinnahmten Betrag ab, während Lauer-Fischer den Abgabepreis (Brutto-VK) erfasst.</w:t>
      </w:r>
    </w:p>
    <w:p>
      <w:pPr>
        <w:spacing w:before="80" w:after="80"/>
        <w:pBdr>
          <w:bottom w:val="single" w:sz="4" w:space="1" w:color="D5D3CE"/>
        </w:pBdr>
      </w:pPr>
    </w:p>
    <w:p>
      <w:pPr>
        <w:pStyle w:val="Heading1"/>
      </w:pPr>
      <w:r>
        <w:t>Diskrepanz 4: Zuzahlung / Patientenanteile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36"/>
        <w:gridCol w:w="4536"/>
      </w:tblGrid>
      <w:tr>
        <w:tc>
          <w:tcPr>
            <w:tcW w:type="dxa" w:w="3600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Quelle</w:t>
            </w:r>
          </w:p>
        </w:tc>
        <w:tc>
          <w:tcPr>
            <w:tcW w:type="dxa" w:w="5328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Betrag</w:t>
            </w:r>
          </w:p>
        </w:tc>
      </w:tr>
      <w:tr>
        <w:tc>
          <w:tcPr>
            <w:tcW w:type="dxa" w:w="360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Datamaster (Zuzahlung)</w:t>
            </w:r>
          </w:p>
        </w:tc>
        <w:tc>
          <w:tcPr>
            <w:tcW w:type="dxa" w:w="532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19.760,65 €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BWA (Patientenanteile)</w:t>
            </w:r>
          </w:p>
        </w:tc>
        <w:tc>
          <w:tcPr>
            <w:tcW w:type="dxa" w:w="5328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17.571,61 €</w:t>
            </w:r>
          </w:p>
        </w:tc>
      </w:tr>
      <w:tr>
        <w:tc>
          <w:tcPr>
            <w:tcW w:type="dxa" w:w="360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Differenz</w:t>
            </w:r>
          </w:p>
        </w:tc>
        <w:tc>
          <w:tcPr>
            <w:tcW w:type="dxa" w:w="532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2.189,04 €</w:t>
            </w:r>
          </w:p>
        </w:tc>
      </w:tr>
    </w:tbl>
    <w:p>
      <w:r>
        <w:rPr>
          <w:rFonts w:ascii="Arial" w:hAnsi="Arial"/>
          <w:b w:val="0"/>
          <w:i w:val="0"/>
          <w:color w:val="1A1A1A"/>
          <w:sz w:val="21"/>
        </w:rPr>
      </w:r>
    </w:p>
    <w:p>
      <w:pPr>
        <w:spacing w:after="80"/>
      </w:pPr>
      <w:r>
        <w:rPr>
          <w:rFonts w:ascii="Arial" w:hAnsi="Arial"/>
          <w:b/>
          <w:i w:val="0"/>
          <w:color w:val="0A0A0A"/>
          <w:sz w:val="21"/>
        </w:rPr>
        <w:t>Mögliche Ursachen: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1A1A1A"/>
          <w:sz w:val="21"/>
        </w:rPr>
        <w:t xml:space="preserve">Nicht eingezogene Zuzahlungen: </w:t>
      </w:r>
      <w:r>
        <w:rPr>
          <w:rFonts w:ascii="Arial" w:hAnsi="Arial"/>
          <w:color w:val="1A1A1A"/>
          <w:sz w:val="21"/>
        </w:rPr>
        <w:t>Einige Zuzahlungen wurden im Datamaster berechnet, aber noch nicht tatsächlich kassiert (z.B. bei Lieferungen/Botendienst).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1A1A1A"/>
          <w:sz w:val="21"/>
        </w:rPr>
        <w:t xml:space="preserve">Zuzahlungsbefreiungen: </w:t>
      </w:r>
      <w:r>
        <w:rPr>
          <w:rFonts w:ascii="Arial" w:hAnsi="Arial"/>
          <w:color w:val="1A1A1A"/>
          <w:sz w:val="21"/>
        </w:rPr>
        <w:t>Patienten, die nachträglich eine Befreiung vorgelegt haben — die Zuzahlung wurde im Datamaster erfasst, aber in der Buchhaltung korrigiert.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1A1A1A"/>
          <w:sz w:val="21"/>
        </w:rPr>
        <w:t xml:space="preserve">Zeitliche Abgrenzung: </w:t>
      </w:r>
      <w:r>
        <w:rPr>
          <w:rFonts w:ascii="Arial" w:hAnsi="Arial"/>
          <w:color w:val="1A1A1A"/>
          <w:sz w:val="21"/>
        </w:rPr>
        <w:t>Nicht alle Zahlungseingänge wurden bis zum BWA-Stichtag verbucht.</w:t>
      </w:r>
    </w:p>
    <w:p>
      <w:pPr>
        <w:spacing w:before="80" w:after="80"/>
        <w:pBdr>
          <w:bottom w:val="single" w:sz="4" w:space="1" w:color="D5D3CE"/>
        </w:pBdr>
      </w:pPr>
    </w:p>
    <w:p>
      <w:pPr>
        <w:pStyle w:val="Heading1"/>
      </w:pPr>
      <w:r>
        <w:t>Diskrepanz 5: Privatrezepte — Lauer-Fischer vs. BWA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36"/>
        <w:gridCol w:w="4536"/>
      </w:tblGrid>
      <w:tr>
        <w:tc>
          <w:tcPr>
            <w:tcW w:type="dxa" w:w="3600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Quelle</w:t>
            </w:r>
          </w:p>
        </w:tc>
        <w:tc>
          <w:tcPr>
            <w:tcW w:type="dxa" w:w="5328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Betrag</w:t>
            </w:r>
          </w:p>
        </w:tc>
      </w:tr>
      <w:tr>
        <w:tc>
          <w:tcPr>
            <w:tcW w:type="dxa" w:w="360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Lauer-Fischer (Privatrezepte inkl. MwSt)</w:t>
            </w:r>
          </w:p>
        </w:tc>
        <w:tc>
          <w:tcPr>
            <w:tcW w:type="dxa" w:w="532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36.800,24 €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BWA (Privatrezepte)</w:t>
            </w:r>
          </w:p>
        </w:tc>
        <w:tc>
          <w:tcPr>
            <w:tcW w:type="dxa" w:w="5328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30.924,57 €</w:t>
            </w:r>
          </w:p>
        </w:tc>
      </w:tr>
      <w:tr>
        <w:tc>
          <w:tcPr>
            <w:tcW w:type="dxa" w:w="360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Differenz</w:t>
            </w:r>
          </w:p>
        </w:tc>
        <w:tc>
          <w:tcPr>
            <w:tcW w:type="dxa" w:w="532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5.875,67 €</w:t>
            </w:r>
          </w:p>
        </w:tc>
      </w:tr>
    </w:tbl>
    <w:p>
      <w:r>
        <w:rPr>
          <w:rFonts w:ascii="Arial" w:hAnsi="Arial"/>
          <w:b w:val="0"/>
          <w:i w:val="0"/>
          <w:color w:val="1A1A1A"/>
          <w:sz w:val="21"/>
        </w:rPr>
      </w:r>
    </w:p>
    <w:p>
      <w:pPr>
        <w:spacing w:before="160" w:after="160"/>
        <w:ind w:left="288"/>
        <w:pBdr>
          <w:left w:val="single" w:sz="18" w:space="8" w:color="3A8A3A"/>
        </w:pBdr>
      </w:pPr>
      <w:r>
        <w:rPr>
          <w:rFonts w:ascii="Arial" w:hAnsi="Arial"/>
          <w:b/>
          <w:color w:val="3A8A3A"/>
          <w:sz w:val="21"/>
        </w:rPr>
        <w:t xml:space="preserve">Keine echte Diskrepanz. </w:t>
      </w:r>
      <w:r>
        <w:rPr>
          <w:rFonts w:ascii="Arial" w:hAnsi="Arial"/>
          <w:color w:val="1A1A1A"/>
          <w:sz w:val="21"/>
        </w:rPr>
        <w:t>30.924,57 × 1,19 = 36.800,24 € — die Differenz entspricht exakt der 19% MwSt. Hier handelt es sich nur um einen Darstellungsunterschied (Brutto vs. Netto).</w:t>
      </w:r>
    </w:p>
    <w:p>
      <w:pPr>
        <w:spacing w:before="80" w:after="80"/>
        <w:pBdr>
          <w:bottom w:val="single" w:sz="4" w:space="1" w:color="D5D3CE"/>
        </w:pBdr>
      </w:pPr>
    </w:p>
    <w:p>
      <w:pPr>
        <w:pStyle w:val="Heading1"/>
      </w:pPr>
      <w:r>
        <w:t>Übereinstimmungen (keine Diskrepanzen)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Kennzahl</w:t>
            </w:r>
          </w:p>
        </w:tc>
        <w:tc>
          <w:tcPr>
            <w:tcW w:type="dxa" w:w="2160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Lauer-Fischer</w:t>
            </w:r>
          </w:p>
        </w:tc>
        <w:tc>
          <w:tcPr>
            <w:tcW w:type="dxa" w:w="2160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BWA</w:t>
            </w:r>
          </w:p>
        </w:tc>
        <w:tc>
          <w:tcPr>
            <w:tcW w:type="dxa" w:w="2160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Status</w:t>
            </w:r>
          </w:p>
        </w:tc>
      </w:tr>
      <w:tr>
        <w:tc>
          <w:tcPr>
            <w:tcW w:type="dxa" w:w="2592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Packungen gesamt</w:t>
            </w:r>
          </w:p>
        </w:tc>
        <w:tc>
          <w:tcPr>
            <w:tcW w:type="dxa" w:w="216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15.122</w:t>
            </w:r>
          </w:p>
        </w:tc>
        <w:tc>
          <w:tcPr>
            <w:tcW w:type="dxa" w:w="216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15.122</w:t>
            </w:r>
          </w:p>
        </w:tc>
        <w:tc>
          <w:tcPr>
            <w:tcW w:type="dxa" w:w="216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Übereinstimmung ✓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Kundenkontakte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6.490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6.490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Übereinstimmung ✓</w:t>
            </w:r>
          </w:p>
        </w:tc>
      </w:tr>
    </w:tbl>
    <w:p>
      <w:pPr>
        <w:spacing w:before="80" w:after="80"/>
        <w:pBdr>
          <w:bottom w:val="single" w:sz="4" w:space="1" w:color="D5D3CE"/>
        </w:pBdr>
      </w:pPr>
    </w:p>
    <w:p>
      <w:pPr>
        <w:pStyle w:val="Heading1"/>
      </w:pPr>
      <w:r>
        <w:t>Zusammenfassung und Handlungsempfehlungen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32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#</w:t>
            </w:r>
          </w:p>
        </w:tc>
        <w:tc>
          <w:tcPr>
            <w:tcW w:type="dxa" w:w="2160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Diskrepanz</w:t>
            </w:r>
          </w:p>
        </w:tc>
        <w:tc>
          <w:tcPr>
            <w:tcW w:type="dxa" w:w="1728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Differenz</w:t>
            </w:r>
          </w:p>
        </w:tc>
        <w:tc>
          <w:tcPr>
            <w:tcW w:type="dxa" w:w="1296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Dringlichkeit</w:t>
            </w:r>
          </w:p>
        </w:tc>
        <w:tc>
          <w:tcPr>
            <w:tcW w:type="dxa" w:w="3312"/>
            <w:shd w:fill="0A0A0A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AF9F6"/>
                <w:sz w:val="20"/>
              </w:rPr>
              <w:t>Empfehlung</w:t>
            </w:r>
          </w:p>
        </w:tc>
      </w:tr>
      <w:tr>
        <w:tc>
          <w:tcPr>
            <w:tcW w:type="dxa" w:w="432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1</w:t>
            </w:r>
          </w:p>
        </w:tc>
        <w:tc>
          <w:tcPr>
            <w:tcW w:type="dxa" w:w="216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228 fehlende Rezepte im Datamaster</w:t>
            </w:r>
          </w:p>
        </w:tc>
        <w:tc>
          <w:tcPr>
            <w:tcW w:type="dxa" w:w="172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228 Stk. / ~30.832 €</w:t>
            </w:r>
          </w:p>
        </w:tc>
        <w:tc>
          <w:tcPr>
            <w:tcW w:type="dxa" w:w="1296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Hoch</w:t>
            </w:r>
          </w:p>
        </w:tc>
        <w:tc>
          <w:tcPr>
            <w:tcW w:type="dxa" w:w="3312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Prüfen, ob Rezepte im Februar-Lauf nachgereicht wurden oder verloren gegangen sind</w:t>
            </w:r>
          </w:p>
        </w:tc>
      </w:tr>
      <w:tr>
        <w:tc>
          <w:tcPr>
            <w:tcW w:type="dxa" w:w="432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2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Zuzahlungsdifferenz DM vs. BWA</w:t>
            </w:r>
          </w:p>
        </w:tc>
        <w:tc>
          <w:tcPr>
            <w:tcW w:type="dxa" w:w="1728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2.189,04 €</w:t>
            </w:r>
          </w:p>
        </w:tc>
        <w:tc>
          <w:tcPr>
            <w:tcW w:type="dxa" w:w="1296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Mittel</w:t>
            </w:r>
          </w:p>
        </w:tc>
        <w:tc>
          <w:tcPr>
            <w:tcW w:type="dxa" w:w="3312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Offene Zuzahlungen identifizieren und nachverfolgen</w:t>
            </w:r>
          </w:p>
        </w:tc>
      </w:tr>
      <w:tr>
        <w:tc>
          <w:tcPr>
            <w:tcW w:type="dxa" w:w="432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3</w:t>
            </w:r>
          </w:p>
        </w:tc>
        <w:tc>
          <w:tcPr>
            <w:tcW w:type="dxa" w:w="2160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GKV Brutto vs. Netto (LF vs. BWA)</w:t>
            </w:r>
          </w:p>
        </w:tc>
        <w:tc>
          <w:tcPr>
            <w:tcW w:type="dxa" w:w="1728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156.317,34 €</w:t>
            </w:r>
          </w:p>
        </w:tc>
        <w:tc>
          <w:tcPr>
            <w:tcW w:type="dxa" w:w="1296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Niedrig</w:t>
            </w:r>
          </w:p>
        </w:tc>
        <w:tc>
          <w:tcPr>
            <w:tcW w:type="dxa" w:w="3312"/>
            <w:shd w:fill="F4F3E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Systembedingt (MwSt + Abschläge) — dokumentieren</w:t>
            </w:r>
          </w:p>
        </w:tc>
      </w:tr>
      <w:tr>
        <w:tc>
          <w:tcPr>
            <w:tcW w:type="dxa" w:w="432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4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Privatrezepte Brutto/Netto</w:t>
            </w:r>
          </w:p>
        </w:tc>
        <w:tc>
          <w:tcPr>
            <w:tcW w:type="dxa" w:w="1728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5.875,67 €</w:t>
            </w:r>
          </w:p>
        </w:tc>
        <w:tc>
          <w:tcPr>
            <w:tcW w:type="dxa" w:w="1296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Keine</w:t>
            </w:r>
          </w:p>
        </w:tc>
        <w:tc>
          <w:tcPr>
            <w:tcW w:type="dxa" w:w="3312"/>
            <w:shd w:fill="FFFFFF" w:val="clear"/>
            <w:tcBorders>
              <w:top w:val="single" w:sz="4" w:space="0" w:color="D5D3CE"/>
              <w:bottom w:val="single" w:sz="4" w:space="0" w:color="D5D3CE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1A1A1A"/>
                <w:sz w:val="20"/>
              </w:rPr>
              <w:t>Exakt 19% MwSt — kein Handlungsbedarf</w:t>
            </w:r>
          </w:p>
        </w:tc>
      </w:tr>
    </w:tbl>
    <w:p>
      <w:r>
        <w:rPr>
          <w:rFonts w:ascii="Arial" w:hAnsi="Arial"/>
          <w:b w:val="0"/>
          <w:i w:val="0"/>
          <w:color w:val="1A1A1A"/>
          <w:sz w:val="21"/>
        </w:rPr>
      </w:r>
    </w:p>
    <w:p>
      <w:pPr>
        <w:spacing w:before="200" w:after="200"/>
        <w:ind w:left="288"/>
        <w:pBdr>
          <w:left w:val="single" w:sz="18" w:space="8" w:color="CC3333"/>
        </w:pBdr>
      </w:pPr>
      <w:r>
        <w:rPr>
          <w:rFonts w:ascii="Arial" w:hAnsi="Arial"/>
          <w:b/>
          <w:color w:val="CC3333"/>
          <w:sz w:val="22"/>
        </w:rPr>
        <w:t xml:space="preserve">Kritischste Diskrepanz: </w:t>
      </w:r>
      <w:r>
        <w:rPr>
          <w:rFonts w:ascii="Arial" w:hAnsi="Arial"/>
          <w:color w:val="1A1A1A"/>
          <w:sz w:val="21"/>
        </w:rPr>
        <w:t>Die 228 fehlenden Rezepte zwischen Lauer-Fischer und Datamaster. Hier sollte geprüft werden, ob diese in einem späteren Abrechnungslauf eingereicht wurden oder ob Umsatz verloren geht.</w:t>
      </w:r>
    </w:p>
    <w:sectPr w:rsidR="00FC693F" w:rsidRPr="0006063C" w:rsidSect="00034616">
      <w:footerReference w:type="default" r:id="rId9"/>
      <w:pgSz w:w="12240" w:h="15840"/>
      <w:pgMar w:top="1296" w:right="1584" w:bottom="1008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D5D3CE"/>
      </w:pBdr>
    </w:pPr>
    <w:r>
      <w:rPr>
        <w:rFonts w:ascii="Arial" w:hAnsi="Arial"/>
        <w:color w:val="8A8780"/>
        <w:sz w:val="16"/>
      </w:rPr>
      <w:t xml:space="preserve">Vergleichsanalyse Januar 2026 — Vertraulich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120" w:line="300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A0A0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A0A0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E8520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