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2800"/>
              <w:left w:type="dxa" w:w="1440"/>
              <w:bottom w:type="dxa" w:w="1000"/>
              <w:right w:type="dxa" w:w="1440"/>
            </w:tcMar>
            <w:vAlign w:val="top"/>
          </w:tcPr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160"/>
              <w:jc w:val="left"/>
            </w:pPr>
            <w:r>
              <w:rPr>
                <w:rFonts w:ascii="Arial" w:cs="Arial" w:eastAsia="Arial" w:hAnsi="Arial"/>
                <w:b/>
                <w:bCs/>
                <w:color w:val="FAF9F6"/>
                <w:sz w:val="56"/>
                <w:szCs w:val="56"/>
              </w:rPr>
              <w:t xml:space="preserve">Phase 0 — Kanzlei Proof: Executive Overview</w:t>
            </w:r>
          </w:p>
          <w:p>
            <w:pPr>
              <w:spacing w:after="280"/>
              <w:jc w:val="left"/>
            </w:pPr>
            <w:r>
              <w:rPr>
                <w:rFonts w:ascii="Arial" w:cs="Arial" w:eastAsia="Arial" w:hAnsi="Arial"/>
                <w:color w:val="8A8780"/>
                <w:sz w:val="26"/>
                <w:szCs w:val="26"/>
              </w:rPr>
              <w:t xml:space="preserve">Phase 0 Overview — Law Firm Proof Track</w:t>
            </w:r>
          </w:p>
          <w:p>
            <w:pPr>
              <w:pBdr>
                <w:bottom w:val="single" w:color="E8520A" w:sz="8" w:space="1"/>
              </w:pBdr>
              <w:spacing w:after="400"/>
            </w:pPr>
            <w:r>
              <w:rPr>
                <w:sz w:val="4"/>
                <w:szCs w:val="4"/>
              </w:rPr>
              <w:t xml:space="preserve"/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i/>
                <w:iCs/>
                <w:color w:val="8A8780"/>
                <w:sz w:val="20"/>
                <w:szCs w:val="20"/>
              </w:rPr>
              <w:t xml:space="preserve">Internal — Founder's Eyes Only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8A8780"/>
                <w:sz w:val="20"/>
                <w:szCs w:val="20"/>
              </w:rPr>
              <w:t xml:space="preserve">2026-03-18</w:t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200"/>
            </w:pPr>
            <w:r>
              <w:rPr>
                <w:sz w:val="24"/>
                <w:szCs w:val="24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/>
                <w:bCs/>
                <w:color w:val="E8520A"/>
                <w:sz w:val="28"/>
                <w:szCs w:val="28"/>
              </w:rPr>
              <w:t xml:space="preserve">sevenlayers</w:t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color w:val="8A8780"/>
                <w:spacing w:val="80"/>
                <w:sz w:val="16"/>
                <w:szCs w:val="16"/>
              </w:rPr>
              <w:t xml:space="preserve">VERTRAULICH / CONFIDENTIAL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/>
      <w:tr>
        <w:trPr>
          <w:tblHeader/>
        </w:trPr>
      </w:tr>
      <w:tr/>
      <w:tr/>
      <w:tr/>
      <w:tr/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One-Sentence Strategy</w:t>
      </w:r>
    </w:p>
    <w:p>
      <w:pPr>
        <w:pBdr>
          <w:top w:val="none" w:color="FFFFFF" w:sz="0"/>
          <w:left w:val="single" w:color="E8520A" w:sz="6" w:space="8"/>
          <w:bottom w:val="none" w:color="FFFFFF" w:sz="0"/>
          <w:right w:val="none" w:color="FFFFFF" w:sz="0"/>
        </w:pBdr>
        <w:shd w:fill="F4F3EF" w:val="clear"/>
        <w:spacing w:before="200" w:after="200"/>
        <w:ind w:left="20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Sign 10 law firm customers in 90 days to prove the vertical thesis, generate case studies, and earn the right to expand to Steuerberater.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Phase Gate Framework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Phase 0 — Proof (now → 10 customers, ~90 days)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Dimension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Goal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10 paying Kanzlei customers, €5-8K MRR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Pricing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€0 audit, €299 pilot, €499-999/month paid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Motion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audit → pilot → paid. legalXchange as launch event. Warm network + cold outreach.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Product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Clara + Jonas + Maren. Phone intake + qualification + booking. Dashboard MVP.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Success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5+ firms that would be upset if we disappeared + real before/after data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Fundraise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No.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Phase 1 — Repeatable (10 → 30 customers, ~6 months)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Dimension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Goal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Repeatable sales, €15-25K MRR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Pricing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Full v4 tiers (€499-1,999/month)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Motion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Case studies sell. Templates reduce onboarding. First hire handles ops.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Product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matures. Practice area templates hardened. RA-MICRO CSV export.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Success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New firms find us (inbound from events, DAV, Legal Tech Verband)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Fundraise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Only if it accelerates something already working.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Phase 2 — Expand (30+ customers)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Dimension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Goal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Multi-vertical. Steuerberater launched. Own the category.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Pricing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v4 tiers + vertical-specific add-ons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Motion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Multi-vertical team, event presence, DAV/DStV partnerships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Success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Revenue funds growth OR raise from strength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What Phase 0 IS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bootstrapped proof phase where every Kanzlei deployment is a data point.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Law firm customers who close in 4-6 weeks with one decision-maker.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Cheap, fast delivery — no procurement, no IT review, no Fachabteilungen.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Founder does everything: sells, configures, supports, monitors, iterates.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minimum viable business that proves the vertical thesis.</w:t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What Phase 0 IS NOT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long-term strategy. This is a bridge, not a destination.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Pricing we're proud of. €499/month is intentionally below full value.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Scalable operations. Founder-led everything breaks at 12-15 customers. That's fine — we need 10.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generic play. We are going after Kanzleien specifically, not "any business with a phone."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How Phase 0 Feeds v4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law firm customer generates four things the expansion strategy needs: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Case study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Real before/after data (missed calls, booked Erstberatungen, revenue recovered).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Practice area template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Each Arbeitsrecht deployment tunes the Arbeitsrecht template. By firm 5, onboarding drops from 10 hours to 4 hours.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ElevenLabs credibility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Real platform usage proves we drive revenue to ElevenLabs. This strengthens the CPA negotiation.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RA-MICRO conversation starter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— "We have 10 Kanzleien running our AI phone. They all use RA-MICRO. Let's talk integration."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customers are the proof layer that makes Steuerberater expansion credible. Without them, the multi-vertical pitch is a slide deck. With them, it's a track record.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90-Day Timeline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Weeks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Focus</w:t>
            </w:r>
          </w:p>
        </w:tc>
        <w:tc>
          <w:tcPr>
            <w:tcW w:type="dxa" w:w="3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1-2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Wire Clara+Jonas+Maren to booking engine. Test 50+ scenarios. Register legalXchange.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Product ready for demo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3-4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legalXchange Munich (Apr 28-30). First 5-8 demo calls.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3-5 call audit agreements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5-8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 3-5 call audits. Convert 2-3 to pilots. Start cold outreach to 20 firms.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2-3 pilots running</w:t>
            </w:r>
          </w:p>
        </w:tc>
      </w:tr>
      <w:tr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9-12</w:t>
            </w:r>
          </w:p>
        </w:tc>
        <w:tc>
          <w:tcPr>
            <w:tcW w:type="dxa" w:w="3008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Convert pilots to paid. Start new audits from pipeline. Attend Anwaltstag.</w:t>
            </w:r>
          </w:p>
        </w:tc>
        <w:tc>
          <w:tcPr>
            <w:tcW w:type="dxa" w:w="3010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8-10 paying customers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Honest Constraints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Solo founder.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Every hour is either building, selling, or supporting. There is no fourth category.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Zero law firm customers.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No social proof in legal vertical. The demo and the call audit carry all the weight.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Zero budget.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legalXchange registration is the biggest spend. No paid ads, no SDRs, no PR.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Product at 3/10 production quality.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Agents work. Booking engine exists. They're not wired together yet. Week 1-2 is for wiring.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Hallo Kira exists.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 Direct competitor at 3-5x lower price. We win on outcome depth, not price.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pStyle w:val="Heading1"/>
        <w:pBdr>
          <w:top w:val="none" w:color="FFFFFF" w:sz="0"/>
          <w:left w:val="none" w:color="FFFFFF" w:sz="0"/>
          <w:bottom w:val="single" w:color="E8520A" w:sz="4" w:space="4"/>
          <w:right w:val="none" w:color="FFFFFF" w:sz="0"/>
        </w:pBdr>
        <w:spacing w:before="360" w:after="160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Connection to v4 Strategy Documents</w:t>
      </w:r>
    </w:p>
    <w:p>
      <w:pPr>
        <w:spacing w:before="160" w:after="0"/>
      </w:pPr>
      <w:r>
        <w:rPr>
          <w:sz w:val="4"/>
          <w:szCs w:val="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Document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0A0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AF9F6"/>
                <w:sz w:val="20"/>
                <w:szCs w:val="20"/>
              </w:rPr>
              <w:t xml:space="preserve">How Phase 0 Uses It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02_SALES_MOTION.md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Call audit → pilot → paid cycle is the Phase 0 sales process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03_DEMO_KIT_SPEC.md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"Schröder &amp; Partner" demo is the Phase 0 demo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04_TRIAL_PLAYBOOK.md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2-week audit + 2-week pilot is the Phase 0 trial structure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05_PRICING_V4.md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Phase 0 uses Basis + Professional tiers</w:t>
            </w:r>
          </w:p>
        </w:tc>
      </w:tr>
      <w:tr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TECHNICAL_PRODUCT_PLAN.md</w:t>
            </w:r>
          </w:p>
        </w:tc>
        <w:tc>
          <w:tcPr>
            <w:tcW w:type="dxa" w:w="4513"/>
            <w:tcBorders>
              <w:top w:val="single" w:color="8A8780" w:sz="1"/>
              <w:left w:val="none" w:color="FFFFFF" w:sz="0"/>
              <w:bottom w:val="single" w:color="8A8780" w:sz="1"/>
              <w:right w:val="none" w:color="FFFFFF" w:sz="0"/>
            </w:tcBorders>
            <w:shd w:fill="F4F3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Layer 1 (MVP wire-up) must complete in weeks 1-2 of Phase 0</w:t>
            </w:r>
          </w:p>
        </w:tc>
      </w:tr>
    </w:tbl>
    <w:p>
      <w:pPr>
        <w:spacing w:before="0" w:after="160"/>
      </w:pPr>
      <w:r>
        <w:rPr>
          <w:sz w:val="4"/>
          <w:szCs w:val="4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Phase 0 is the tactical layer beneath the strategic layer. Every Phase 0 decision should be evaluated against one question: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does this get us closer to 10 law firm customers and €5K MRR?</w:t>
      </w:r>
    </w:p>
    <w:p>
      <w:pPr>
        <w:pBdr>
          <w:bottom w:val="single" w:color="8A8780" w:sz="2" w:space="4"/>
        </w:pBdr>
        <w:spacing w:before="200" w:after="200"/>
      </w:pPr>
      <w:r>
        <w:rPr>
          <w:sz w:val="4"/>
          <w:szCs w:val="4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8A8780"/>
          <w:sz w:val="18"/>
          <w:szCs w:val="18"/>
        </w:rPr>
        <w:t xml:space="preserve">Created: March 2026</w:t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8A8780"/>
          <w:sz w:val="18"/>
          <w:szCs w:val="18"/>
        </w:rPr>
        <w:t xml:space="preserve">Status: Operative — Phase 0 begins immediately with product wire-up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A8780" w:sz="1" w:space="4"/>
      </w:pBdr>
      <w:tabs>
        <w:tab w:val="right" w:pos="9026"/>
      </w:tabs>
    </w:pPr>
    <w:r>
      <w:rPr>
        <w:rFonts w:ascii="Arial" w:cs="Arial" w:eastAsia="Arial" w:hAnsi="Arial"/>
        <w:color w:val="8A8780"/>
        <w:sz w:val="14"/>
        <w:szCs w:val="14"/>
      </w:rPr>
      <w:t xml:space="preserve">sevenlayers</w:t>
    </w:r>
    <w:r>
      <w:rPr>
        <w:rFonts w:ascii="Arial" w:cs="Arial" w:eastAsia="Arial" w:hAnsi="Arial"/>
        <w:sz w:val="14"/>
        <w:szCs w:val="14"/>
      </w:rPr>
      <w:t xml:space="preserve">	</w:t>
    </w:r>
    <w:r>
      <w:rPr>
        <w:rFonts w:ascii="Arial" w:cs="Arial" w:eastAsia="Arial" w:hAnsi="Arial"/>
        <w:color w:val="8A8780"/>
        <w:sz w:val="14"/>
        <w:szCs w:val="14"/>
      </w:rPr>
      <w:t xml:space="preserve">Seite </w:t>
    </w:r>
    <w:r>
      <w:rPr>
        <w:rFonts w:ascii="Arial" w:cs="Arial" w:eastAsia="Arial" w:hAnsi="Arial"/>
        <w:color w:val="8A87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A8780"/>
        <w:sz w:val="16"/>
        <w:szCs w:val="16"/>
      </w:rPr>
      <w:t xml:space="preserve">sevenlayers</w:t>
    </w:r>
    <w:r>
      <w:rPr>
        <w:rFonts w:ascii="Arial" w:cs="Arial" w:eastAsia="Arial" w:hAnsi="Arial"/>
        <w:color w:val="8A8780"/>
        <w:sz w:val="16"/>
        <w:szCs w:val="16"/>
      </w:rPr>
      <w:t xml:space="preserve">  |  </w:t>
    </w:r>
    <w:r>
      <w:rPr>
        <w:rFonts w:ascii="Arial" w:cs="Arial" w:eastAsia="Arial" w:hAnsi="Arial"/>
        <w:color w:val="8A8780"/>
        <w:spacing w:val="60"/>
        <w:sz w:val="14"/>
        <w:szCs w:val="14"/>
      </w:rPr>
      <w:t xml:space="preserve">VERTRAULICH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color w:val="E8520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/>
        <w:bCs/>
        <w:color w:val="E8520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2026-03-18T16:57:56.299Z</dcterms:created>
  <dcterms:modified xsi:type="dcterms:W3CDTF">2026-03-18T16:57:56.299Z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