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06"/>
      </w:tblGrid>
      <w:tr>
        <w:trPr>
          <w:trHeight w:val="16838" w:hRule="exact"/>
        </w:trPr>
        <w:tc>
          <w:tcPr>
            <w:tcW w:type="dxa" w:w="11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2800"/>
              <w:left w:type="dxa" w:w="1440"/>
              <w:bottom w:type="dxa" w:w="1000"/>
              <w:right w:type="dxa" w:w="1440"/>
            </w:tcMar>
            <w:vAlign w:val="top"/>
          </w:tcPr>
          <w:p>
            <w:pPr>
              <w:spacing w:after="20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spacing w:after="20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spacing w:after="20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spacing w:after="20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color w:val="FAF9F6"/>
                <w:sz w:val="56"/>
                <w:szCs w:val="56"/>
              </w:rPr>
              <w:t xml:space="preserve">Phase 0 — Kanzlei Proof: Pricing</w:t>
            </w:r>
          </w:p>
          <w:p>
            <w:pPr>
              <w:spacing w:after="280"/>
              <w:jc w:val="left"/>
            </w:pPr>
            <w:r>
              <w:rPr>
                <w:rFonts w:ascii="Arial" w:cs="Arial" w:eastAsia="Arial" w:hAnsi="Arial"/>
                <w:color w:val="8A8780"/>
                <w:sz w:val="26"/>
                <w:szCs w:val="26"/>
              </w:rPr>
              <w:t xml:space="preserve">Phase 0 Pricing — Pilot &amp; Conversion Pricing</w:t>
            </w:r>
          </w:p>
          <w:p>
            <w:pPr>
              <w:pBdr>
                <w:bottom w:val="single" w:color="E8520A" w:sz="8" w:space="1"/>
              </w:pBdr>
              <w:spacing w:after="400"/>
            </w:pPr>
            <w:r>
              <w:rPr>
                <w:sz w:val="4"/>
                <w:szCs w:val="4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8A8780"/>
                <w:sz w:val="20"/>
                <w:szCs w:val="20"/>
              </w:rPr>
              <w:t xml:space="preserve">Internal — Founder's Eyes Only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8A8780"/>
                <w:sz w:val="20"/>
                <w:szCs w:val="20"/>
              </w:rPr>
              <w:t xml:space="preserve">2026-03-18</w:t>
            </w:r>
          </w:p>
          <w:p>
            <w:pPr>
              <w:spacing w:after="20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spacing w:after="20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spacing w:after="20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spacing w:after="20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spacing w:after="20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spacing w:after="20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spacing w:after="20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spacing w:after="20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spacing w:after="20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spacing w:after="200"/>
            </w:pPr>
            <w:r>
              <w:rPr>
                <w:sz w:val="24"/>
                <w:szCs w:val="24"/>
              </w:rPr>
              <w:t xml:space="preserve"/>
            </w:r>
          </w:p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E8520A"/>
                <w:sz w:val="28"/>
                <w:szCs w:val="28"/>
              </w:rPr>
              <w:t xml:space="preserve">sevenlayers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8A8780"/>
                <w:spacing w:val="80"/>
                <w:sz w:val="16"/>
                <w:szCs w:val="16"/>
              </w:rPr>
              <w:t xml:space="preserve">VERTRAULICH / CONFIDENTIAL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before="160" w:after="0"/>
      </w:pPr>
      <w:r>
        <w:rPr>
          <w:sz w:val="4"/>
          <w:szCs w:val="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/>
      <w:tr>
        <w:trPr>
          <w:tblHeader/>
        </w:trPr>
      </w:tr>
      <w:tr/>
      <w:tr/>
    </w:tbl>
    <w:p>
      <w:pPr>
        <w:spacing w:before="0" w:after="160"/>
      </w:pPr>
      <w:r>
        <w:rPr>
          <w:sz w:val="4"/>
          <w:szCs w:val="4"/>
        </w:rPr>
        <w:t xml:space="preserve"/>
      </w:r>
    </w:p>
    <w:p>
      <w:pPr>
        <w:pBdr>
          <w:bottom w:val="single" w:color="8A8780" w:sz="2" w:space="4"/>
        </w:pBdr>
        <w:spacing w:before="200" w:after="200"/>
      </w:pPr>
      <w:r>
        <w:rPr>
          <w:sz w:val="4"/>
          <w:szCs w:val="4"/>
        </w:rPr>
        <w:t xml:space="preserve"/>
      </w:r>
    </w:p>
    <w:p>
      <w:pPr>
        <w:pStyle w:val="Heading1"/>
        <w:pBdr>
          <w:top w:val="none" w:color="FFFFFF" w:sz="0"/>
          <w:left w:val="none" w:color="FFFFFF" w:sz="0"/>
          <w:bottom w:val="single" w:color="E8520A" w:sz="4" w:space="4"/>
          <w:right w:val="none" w:color="FFFFFF" w:sz="0"/>
        </w:pBdr>
        <w:spacing w:before="36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Phase 0 Pricing Philosophy</w:t>
      </w:r>
    </w:p>
    <w:p>
      <w:pPr>
        <w:pBdr>
          <w:top w:val="none" w:color="FFFFFF" w:sz="0"/>
          <w:left w:val="single" w:color="8A8780" w:sz="4" w:space="8"/>
          <w:bottom w:val="none" w:color="FFFFFF" w:sz="0"/>
          <w:right w:val="none" w:color="FFFFFF" w:sz="0"/>
        </w:pBdr>
        <w:spacing w:before="120" w:after="120"/>
        <w:ind w:left="400"/>
      </w:pPr>
      <w:r>
        <w:rPr>
          <w:rFonts w:ascii="Arial" w:cs="Arial" w:eastAsia="Arial" w:hAnsi="Arial"/>
          <w:i/>
          <w:iCs/>
          <w:color w:val="6B6B6B"/>
          <w:sz w:val="22"/>
          <w:szCs w:val="22"/>
        </w:rPr>
        <w:t xml:space="preserve">"The audit is free because it IS the sales tool. The pilot is cheap because we need proof, not profit. The conversion is fair because the data justifies the price."</w:t>
      </w:r>
    </w:p>
    <w:p>
      <w:pPr>
        <w:pBdr>
          <w:bottom w:val="single" w:color="8A8780" w:sz="2" w:space="4"/>
        </w:pBdr>
        <w:spacing w:before="200" w:after="200"/>
      </w:pPr>
      <w:r>
        <w:rPr>
          <w:sz w:val="4"/>
          <w:szCs w:val="4"/>
        </w:rPr>
        <w:t xml:space="preserve"/>
      </w:r>
    </w:p>
    <w:p>
      <w:pPr>
        <w:pStyle w:val="Heading1"/>
        <w:pBdr>
          <w:top w:val="none" w:color="FFFFFF" w:sz="0"/>
          <w:left w:val="none" w:color="FFFFFF" w:sz="0"/>
          <w:bottom w:val="single" w:color="E8520A" w:sz="4" w:space="4"/>
          <w:right w:val="none" w:color="FFFFFF" w:sz="0"/>
        </w:pBdr>
        <w:spacing w:before="36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Three-Step Price Ladder</w:t>
      </w:r>
    </w:p>
    <w:p>
      <w:pPr>
        <w:spacing w:before="160" w:after="0"/>
      </w:pPr>
      <w:r>
        <w:rPr>
          <w:sz w:val="4"/>
          <w:szCs w:val="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AF9F6"/>
                <w:sz w:val="20"/>
                <w:szCs w:val="20"/>
              </w:rPr>
              <w:t xml:space="preserve">Step</w:t>
            </w:r>
          </w:p>
        </w:tc>
        <w:tc>
          <w:tcPr>
            <w:tcW w:type="dxa" w:w="18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AF9F6"/>
                <w:sz w:val="20"/>
                <w:szCs w:val="20"/>
              </w:rPr>
              <w:t xml:space="preserve">Price</w:t>
            </w:r>
          </w:p>
        </w:tc>
        <w:tc>
          <w:tcPr>
            <w:tcW w:type="dxa" w:w="18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AF9F6"/>
                <w:sz w:val="20"/>
                <w:szCs w:val="20"/>
              </w:rPr>
              <w:t xml:space="preserve">Duration</w:t>
            </w:r>
          </w:p>
        </w:tc>
        <w:tc>
          <w:tcPr>
            <w:tcW w:type="dxa" w:w="18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AF9F6"/>
                <w:sz w:val="20"/>
                <w:szCs w:val="20"/>
              </w:rPr>
              <w:t xml:space="preserve">What They Get</w:t>
            </w:r>
          </w:p>
        </w:tc>
        <w:tc>
          <w:tcPr>
            <w:tcW w:type="dxa" w:w="1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AF9F6"/>
                <w:sz w:val="20"/>
                <w:szCs w:val="20"/>
              </w:rPr>
              <w:t xml:space="preserve">Why This Price</w:t>
            </w:r>
          </w:p>
        </w:tc>
      </w:tr>
      <w:tr>
        <w:tc>
          <w:tcPr>
            <w:tcW w:type="dxa" w:w="1805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1. Call Audit</w:t>
            </w:r>
          </w:p>
        </w:tc>
        <w:tc>
          <w:tcPr>
            <w:tcW w:type="dxa" w:w="1805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€0</w:t>
            </w:r>
          </w:p>
        </w:tc>
        <w:tc>
          <w:tcPr>
            <w:tcW w:type="dxa" w:w="1805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weeks</w:t>
            </w:r>
          </w:p>
        </w:tc>
        <w:tc>
          <w:tcPr>
            <w:tcW w:type="dxa" w:w="1805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Overflow calls captured, qualified, summarized. Audit report with revenue-at-risk math.</w:t>
            </w:r>
          </w:p>
        </w:tc>
        <w:tc>
          <w:tcPr>
            <w:tcW w:type="dxa" w:w="1806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 removes all friction. The data creates urgency that justifies Step 2.</w:t>
            </w:r>
          </w:p>
        </w:tc>
      </w:tr>
      <w:tr>
        <w:tc>
          <w:tcPr>
            <w:tcW w:type="dxa" w:w="1805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2. Pilot</w:t>
            </w:r>
          </w:p>
        </w:tc>
        <w:tc>
          <w:tcPr>
            <w:tcW w:type="dxa" w:w="1805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€299/month</w:t>
            </w:r>
          </w:p>
        </w:tc>
        <w:tc>
          <w:tcPr>
            <w:tcW w:type="dxa" w:w="1805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weeks</w:t>
            </w:r>
          </w:p>
        </w:tc>
        <w:tc>
          <w:tcPr>
            <w:tcW w:type="dxa" w:w="1805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intake: qualification + calendar booking + email notifications. All 3 agents active.</w:t>
            </w:r>
          </w:p>
        </w:tc>
        <w:tc>
          <w:tcPr>
            <w:tcW w:type="dxa" w:w="1806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 enough to say yes without a meeting. High enough to signal commitment.</w:t>
            </w:r>
          </w:p>
        </w:tc>
      </w:tr>
      <w:tr>
        <w:tc>
          <w:tcPr>
            <w:tcW w:type="dxa" w:w="1805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3. Paid</w:t>
            </w:r>
          </w:p>
        </w:tc>
        <w:tc>
          <w:tcPr>
            <w:tcW w:type="dxa" w:w="1805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€499-999/month</w:t>
            </w:r>
          </w:p>
        </w:tc>
        <w:tc>
          <w:tcPr>
            <w:tcW w:type="dxa" w:w="1805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Ongoing</w:t>
            </w:r>
          </w:p>
        </w:tc>
        <w:tc>
          <w:tcPr>
            <w:tcW w:type="dxa" w:w="1805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service. Monthly optimization. Dashboard access. Practice area templates.</w:t>
            </w:r>
          </w:p>
        </w:tc>
        <w:tc>
          <w:tcPr>
            <w:tcW w:type="dxa" w:w="1806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See 05_PRICING_V4.md for full tier details.</w:t>
            </w:r>
          </w:p>
        </w:tc>
      </w:tr>
    </w:tbl>
    <w:p>
      <w:pPr>
        <w:spacing w:before="0" w:after="160"/>
      </w:pPr>
      <w:r>
        <w:rPr>
          <w:sz w:val="4"/>
          <w:szCs w:val="4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Setup fees during Phase 0</w:t>
      </w:r>
    </w:p>
    <w:p>
      <w:pPr>
        <w:spacing w:before="160" w:after="0"/>
      </w:pPr>
      <w:r>
        <w:rPr>
          <w:sz w:val="4"/>
          <w:szCs w:val="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AF9F6"/>
                <w:sz w:val="20"/>
                <w:szCs w:val="20"/>
              </w:rPr>
              <w:t xml:space="preserve">Step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AF9F6"/>
                <w:sz w:val="20"/>
                <w:szCs w:val="20"/>
              </w:rPr>
              <w:t xml:space="preserve">Setup Fee</w:t>
            </w:r>
          </w:p>
        </w:tc>
        <w:tc>
          <w:tcPr>
            <w:tcW w:type="dxa" w:w="30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AF9F6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00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Call Audit</w:t>
            </w:r>
          </w:p>
        </w:tc>
        <w:tc>
          <w:tcPr>
            <w:tcW w:type="dxa" w:w="300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€0</w:t>
            </w:r>
          </w:p>
        </w:tc>
        <w:tc>
          <w:tcPr>
            <w:tcW w:type="dxa" w:w="3010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barrier.</w:t>
            </w:r>
          </w:p>
        </w:tc>
      </w:tr>
      <w:tr>
        <w:tc>
          <w:tcPr>
            <w:tcW w:type="dxa" w:w="300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Pilot</w:t>
            </w:r>
          </w:p>
        </w:tc>
        <w:tc>
          <w:tcPr>
            <w:tcW w:type="dxa" w:w="300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€0</w:t>
            </w:r>
          </w:p>
        </w:tc>
        <w:tc>
          <w:tcPr>
            <w:tcW w:type="dxa" w:w="3010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Still in proof mode. Don't charge for setup during pilot.</w:t>
            </w:r>
          </w:p>
        </w:tc>
      </w:tr>
      <w:tr>
        <w:tc>
          <w:tcPr>
            <w:tcW w:type="dxa" w:w="300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Paid (Basis)</w:t>
            </w:r>
          </w:p>
        </w:tc>
        <w:tc>
          <w:tcPr>
            <w:tcW w:type="dxa" w:w="300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€1,000 (reduced from €1,500)</w:t>
            </w:r>
          </w:p>
        </w:tc>
        <w:tc>
          <w:tcPr>
            <w:tcW w:type="dxa" w:w="3010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0 discount. Covers real work but reduces friction.</w:t>
            </w:r>
          </w:p>
        </w:tc>
      </w:tr>
      <w:tr>
        <w:tc>
          <w:tcPr>
            <w:tcW w:type="dxa" w:w="300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Paid (Professional)</w:t>
            </w:r>
          </w:p>
        </w:tc>
        <w:tc>
          <w:tcPr>
            <w:tcW w:type="dxa" w:w="300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€1,500 (reduced from €2,000)</w:t>
            </w:r>
          </w:p>
        </w:tc>
        <w:tc>
          <w:tcPr>
            <w:tcW w:type="dxa" w:w="3010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0 discount.</w:t>
            </w:r>
          </w:p>
        </w:tc>
      </w:tr>
    </w:tbl>
    <w:p>
      <w:pPr>
        <w:spacing w:before="0" w:after="160"/>
      </w:pPr>
      <w:r>
        <w:rPr>
          <w:sz w:val="4"/>
          <w:szCs w:val="4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Phase 0 setup discounts end when we reach 10 paying customers.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After that, full v4 pricing applies.</w:t>
      </w:r>
    </w:p>
    <w:p>
      <w:pPr>
        <w:pBdr>
          <w:bottom w:val="single" w:color="8A8780" w:sz="2" w:space="4"/>
        </w:pBdr>
        <w:spacing w:before="200" w:after="200"/>
      </w:pPr>
      <w:r>
        <w:rPr>
          <w:sz w:val="4"/>
          <w:szCs w:val="4"/>
        </w:rPr>
        <w:t xml:space="preserve"/>
      </w:r>
    </w:p>
    <w:p>
      <w:pPr>
        <w:pStyle w:val="Heading1"/>
        <w:pBdr>
          <w:top w:val="none" w:color="FFFFFF" w:sz="0"/>
          <w:left w:val="none" w:color="FFFFFF" w:sz="0"/>
          <w:bottom w:val="single" w:color="E8520A" w:sz="4" w:space="4"/>
          <w:right w:val="none" w:color="FFFFFF" w:sz="0"/>
        </w:pBdr>
        <w:spacing w:before="36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Why These Prices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vs. Hallo Kira</w:t>
      </w:r>
    </w:p>
    <w:p>
      <w:pPr>
        <w:spacing w:before="160" w:after="0"/>
      </w:pPr>
      <w:r>
        <w:rPr>
          <w:sz w:val="4"/>
          <w:szCs w:val="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AF9F6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AF9F6"/>
                <w:sz w:val="20"/>
                <w:szCs w:val="20"/>
              </w:rPr>
              <w:t xml:space="preserve">Hallo Kira</w:t>
            </w:r>
          </w:p>
        </w:tc>
        <w:tc>
          <w:tcPr>
            <w:tcW w:type="dxa" w:w="30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AF9F6"/>
                <w:sz w:val="20"/>
                <w:szCs w:val="20"/>
              </w:rPr>
              <w:t xml:space="preserve">Our Phase 0</w:t>
            </w:r>
          </w:p>
        </w:tc>
      </w:tr>
      <w:tr>
        <w:tc>
          <w:tcPr>
            <w:tcW w:type="dxa" w:w="300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Entry</w:t>
            </w:r>
          </w:p>
        </w:tc>
        <w:tc>
          <w:tcPr>
            <w:tcW w:type="dxa" w:w="300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€99/month (100 min included)</w:t>
            </w:r>
          </w:p>
        </w:tc>
        <w:tc>
          <w:tcPr>
            <w:tcW w:type="dxa" w:w="3010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€0 (call audit)</w:t>
            </w:r>
          </w:p>
        </w:tc>
      </w:tr>
      <w:tr>
        <w:tc>
          <w:tcPr>
            <w:tcW w:type="dxa" w:w="300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service</w:t>
            </w:r>
          </w:p>
        </w:tc>
        <w:tc>
          <w:tcPr>
            <w:tcW w:type="dxa" w:w="300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€169-299/month</w:t>
            </w:r>
          </w:p>
        </w:tc>
        <w:tc>
          <w:tcPr>
            <w:tcW w:type="dxa" w:w="3010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€499-999/month</w:t>
            </w:r>
          </w:p>
        </w:tc>
      </w:tr>
      <w:tr>
        <w:tc>
          <w:tcPr>
            <w:tcW w:type="dxa" w:w="300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 they get</w:t>
            </w:r>
          </w:p>
        </w:tc>
        <w:tc>
          <w:tcPr>
            <w:tcW w:type="dxa" w:w="300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Phone answering + basic qualification</w:t>
            </w:r>
          </w:p>
        </w:tc>
        <w:tc>
          <w:tcPr>
            <w:tcW w:type="dxa" w:w="3010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Phone + deep qualification + booking + structured intake + dashboard</w:t>
            </w:r>
          </w:p>
        </w:tc>
      </w:tr>
    </w:tbl>
    <w:p>
      <w:pPr>
        <w:spacing w:before="0" w:after="160"/>
      </w:pPr>
      <w:r>
        <w:rPr>
          <w:sz w:val="4"/>
          <w:szCs w:val="4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We are 2-3x Hallo Kira's price.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This is intentional. We deliver categorically more value. But we need the call audit to PROVE that value before asking for the premium.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vs. the "do nothing" alternative</w:t>
      </w:r>
    </w:p>
    <w:p>
      <w:pPr>
        <w:spacing w:before="160" w:after="0"/>
      </w:pPr>
      <w:r>
        <w:rPr>
          <w:sz w:val="4"/>
          <w:szCs w:val="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AF9F6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AF9F6"/>
                <w:sz w:val="20"/>
                <w:szCs w:val="20"/>
              </w:rPr>
              <w:t xml:space="preserve">Doing Nothing</w:t>
            </w:r>
          </w:p>
        </w:tc>
        <w:tc>
          <w:tcPr>
            <w:tcW w:type="dxa" w:w="30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AF9F6"/>
                <w:sz w:val="20"/>
                <w:szCs w:val="20"/>
              </w:rPr>
              <w:t xml:space="preserve">Our Service</w:t>
            </w:r>
          </w:p>
        </w:tc>
      </w:tr>
      <w:tr>
        <w:tc>
          <w:tcPr>
            <w:tcW w:type="dxa" w:w="300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Cost</w:t>
            </w:r>
          </w:p>
        </w:tc>
        <w:tc>
          <w:tcPr>
            <w:tcW w:type="dxa" w:w="300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€0/month</w:t>
            </w:r>
          </w:p>
        </w:tc>
        <w:tc>
          <w:tcPr>
            <w:tcW w:type="dxa" w:w="3010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€499-999/month</w:t>
            </w:r>
          </w:p>
        </w:tc>
      </w:tr>
      <w:tr>
        <w:tc>
          <w:tcPr>
            <w:tcW w:type="dxa" w:w="300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Revenue lost</w:t>
            </w:r>
          </w:p>
        </w:tc>
        <w:tc>
          <w:tcPr>
            <w:tcW w:type="dxa" w:w="300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€3,000-5,000/month (estimated from audit data)</w:t>
            </w:r>
          </w:p>
        </w:tc>
        <w:tc>
          <w:tcPr>
            <w:tcW w:type="dxa" w:w="3010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Recovered by our agents</w:t>
            </w:r>
          </w:p>
        </w:tc>
      </w:tr>
      <w:tr>
        <w:tc>
          <w:tcPr>
            <w:tcW w:type="dxa" w:w="300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ROI</w:t>
            </w:r>
          </w:p>
        </w:tc>
        <w:tc>
          <w:tcPr>
            <w:tcW w:type="dxa" w:w="300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-€3,000-5,000/month</w:t>
            </w:r>
          </w:p>
        </w:tc>
        <w:tc>
          <w:tcPr>
            <w:tcW w:type="dxa" w:w="3010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+€2,000-4,000/month net</w:t>
            </w:r>
          </w:p>
        </w:tc>
      </w:tr>
    </w:tbl>
    <w:p>
      <w:pPr>
        <w:spacing w:before="0" w:after="160"/>
      </w:pPr>
      <w:r>
        <w:rPr>
          <w:sz w:val="4"/>
          <w:szCs w:val="4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vs. hiring</w:t>
      </w:r>
    </w:p>
    <w:p>
      <w:pPr>
        <w:spacing w:before="160" w:after="0"/>
      </w:pPr>
      <w:r>
        <w:rPr>
          <w:sz w:val="4"/>
          <w:szCs w:val="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AF9F6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AF9F6"/>
                <w:sz w:val="20"/>
                <w:szCs w:val="20"/>
              </w:rPr>
              <w:t xml:space="preserve">Part-time Sekretärin</w:t>
            </w:r>
          </w:p>
        </w:tc>
        <w:tc>
          <w:tcPr>
            <w:tcW w:type="dxa" w:w="30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AF9F6"/>
                <w:sz w:val="20"/>
                <w:szCs w:val="20"/>
              </w:rPr>
              <w:t xml:space="preserve">Our Service</w:t>
            </w:r>
          </w:p>
        </w:tc>
      </w:tr>
      <w:tr>
        <w:tc>
          <w:tcPr>
            <w:tcW w:type="dxa" w:w="300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Cost</w:t>
            </w:r>
          </w:p>
        </w:tc>
        <w:tc>
          <w:tcPr>
            <w:tcW w:type="dxa" w:w="300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€1,500-2,500/month (incl. Sozialabgaben)</w:t>
            </w:r>
          </w:p>
        </w:tc>
        <w:tc>
          <w:tcPr>
            <w:tcW w:type="dxa" w:w="3010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€499-999/month</w:t>
            </w:r>
          </w:p>
        </w:tc>
      </w:tr>
      <w:tr>
        <w:tc>
          <w:tcPr>
            <w:tcW w:type="dxa" w:w="300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Hours</w:t>
            </w:r>
          </w:p>
        </w:tc>
        <w:tc>
          <w:tcPr>
            <w:tcW w:type="dxa" w:w="300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20h/week, Mon-Fri</w:t>
            </w:r>
          </w:p>
        </w:tc>
        <w:tc>
          <w:tcPr>
            <w:tcW w:type="dxa" w:w="3010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24/7/365</w:t>
            </w:r>
          </w:p>
        </w:tc>
      </w:tr>
      <w:tr>
        <w:tc>
          <w:tcPr>
            <w:tcW w:type="dxa" w:w="300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Sick days</w:t>
            </w:r>
          </w:p>
        </w:tc>
        <w:tc>
          <w:tcPr>
            <w:tcW w:type="dxa" w:w="300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Vacation</w:t>
            </w:r>
          </w:p>
        </w:tc>
        <w:tc>
          <w:tcPr>
            <w:tcW w:type="dxa" w:w="300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 (30 days/year)</w:t>
            </w:r>
          </w:p>
        </w:tc>
        <w:tc>
          <w:tcPr>
            <w:tcW w:type="dxa" w:w="3010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Training</w:t>
            </w:r>
          </w:p>
        </w:tc>
        <w:tc>
          <w:tcPr>
            <w:tcW w:type="dxa" w:w="300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Ongoing</w:t>
            </w:r>
          </w:p>
        </w:tc>
        <w:tc>
          <w:tcPr>
            <w:tcW w:type="dxa" w:w="3010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Included</w:t>
            </w:r>
          </w:p>
        </w:tc>
      </w:tr>
      <w:tr>
        <w:tc>
          <w:tcPr>
            <w:tcW w:type="dxa" w:w="300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Qualification depth</w:t>
            </w:r>
          </w:p>
        </w:tc>
        <w:tc>
          <w:tcPr>
            <w:tcW w:type="dxa" w:w="300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Depends on person</w:t>
            </w:r>
          </w:p>
        </w:tc>
        <w:tc>
          <w:tcPr>
            <w:tcW w:type="dxa" w:w="3010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Consistent, improving</w:t>
            </w:r>
          </w:p>
        </w:tc>
      </w:tr>
    </w:tbl>
    <w:p>
      <w:pPr>
        <w:spacing w:before="0" w:after="160"/>
      </w:pPr>
      <w:r>
        <w:rPr>
          <w:sz w:val="4"/>
          <w:szCs w:val="4"/>
        </w:rPr>
        <w:t xml:space="preserve"/>
      </w:r>
    </w:p>
    <w:p>
      <w:pPr>
        <w:pBdr>
          <w:bottom w:val="single" w:color="8A8780" w:sz="2" w:space="4"/>
        </w:pBdr>
        <w:spacing w:before="200" w:after="200"/>
      </w:pPr>
      <w:r>
        <w:rPr>
          <w:sz w:val="4"/>
          <w:szCs w:val="4"/>
        </w:rPr>
        <w:t xml:space="preserve"/>
      </w:r>
    </w:p>
    <w:p>
      <w:pPr>
        <w:pStyle w:val="Heading1"/>
        <w:pBdr>
          <w:top w:val="none" w:color="FFFFFF" w:sz="0"/>
          <w:left w:val="none" w:color="FFFFFF" w:sz="0"/>
          <w:bottom w:val="single" w:color="E8520A" w:sz="4" w:space="4"/>
          <w:right w:val="none" w:color="FFFFFF" w:sz="0"/>
        </w:pBdr>
        <w:spacing w:before="36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Payment Terms (Phase 0)</w:t>
      </w:r>
    </w:p>
    <w:p>
      <w:pPr>
        <w:spacing w:before="160" w:after="0"/>
      </w:pPr>
      <w:r>
        <w:rPr>
          <w:sz w:val="4"/>
          <w:szCs w:val="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AF9F6"/>
                <w:sz w:val="20"/>
                <w:szCs w:val="20"/>
              </w:rPr>
              <w:t xml:space="preserve">Term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AF9F6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Billing</w:t>
            </w:r>
          </w:p>
        </w:tc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Monthly, first invoice on go-live date</w:t>
            </w:r>
          </w:p>
        </w:tc>
      </w:tr>
      <w:tr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 method</w:t>
            </w:r>
          </w:p>
        </w:tc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Überweisung (bank transfer) or SEPA-Lastschrift</w:t>
            </w:r>
          </w:p>
        </w:tc>
      </w:tr>
      <w:tr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Contract</w:t>
            </w:r>
          </w:p>
        </w:tc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Monatlich kündbar. 30 days notice. No annual commitment.</w:t>
            </w:r>
          </w:p>
        </w:tc>
      </w:tr>
      <w:tr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Setup fee</w:t>
            </w:r>
          </w:p>
        </w:tc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Due before configuration starts (for paid tier)</w:t>
            </w:r>
          </w:p>
        </w:tc>
      </w:tr>
      <w:tr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Trial-to-paid</w:t>
            </w:r>
          </w:p>
        </w:tc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Seamless. No re-onboarding needed.</w:t>
            </w:r>
          </w:p>
        </w:tc>
      </w:tr>
    </w:tbl>
    <w:p>
      <w:pPr>
        <w:spacing w:before="0" w:after="160"/>
      </w:pPr>
      <w:r>
        <w:rPr>
          <w:sz w:val="4"/>
          <w:szCs w:val="4"/>
        </w:rPr>
        <w:t xml:space="preserve"/>
      </w:r>
    </w:p>
    <w:p>
      <w:pPr>
        <w:pBdr>
          <w:bottom w:val="single" w:color="8A8780" w:sz="2" w:space="4"/>
        </w:pBdr>
        <w:spacing w:before="200" w:after="200"/>
      </w:pPr>
      <w:r>
        <w:rPr>
          <w:sz w:val="4"/>
          <w:szCs w:val="4"/>
        </w:rPr>
        <w:t xml:space="preserve"/>
      </w:r>
    </w:p>
    <w:p>
      <w:pPr>
        <w:pStyle w:val="Heading1"/>
        <w:pBdr>
          <w:top w:val="none" w:color="FFFFFF" w:sz="0"/>
          <w:left w:val="none" w:color="FFFFFF" w:sz="0"/>
          <w:bottom w:val="single" w:color="E8520A" w:sz="4" w:space="4"/>
          <w:right w:val="none" w:color="FFFFFF" w:sz="0"/>
        </w:pBdr>
        <w:spacing w:before="36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Phase 0 Revenue Projection</w:t>
      </w:r>
    </w:p>
    <w:p>
      <w:pPr>
        <w:spacing w:before="160" w:after="0"/>
      </w:pPr>
      <w:r>
        <w:rPr>
          <w:sz w:val="4"/>
          <w:szCs w:val="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AF9F6"/>
                <w:sz w:val="20"/>
                <w:szCs w:val="20"/>
              </w:rPr>
              <w:t xml:space="preserve">Month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AF9F6"/>
                <w:sz w:val="20"/>
                <w:szCs w:val="20"/>
              </w:rPr>
              <w:t xml:space="preserve">New Customers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AF9F6"/>
                <w:sz w:val="20"/>
                <w:szCs w:val="20"/>
              </w:rPr>
              <w:t xml:space="preserve">Total Paying</w:t>
            </w:r>
          </w:p>
        </w:tc>
        <w:tc>
          <w:tcPr>
            <w:tcW w:type="dxa" w:w="2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AF9F6"/>
                <w:sz w:val="20"/>
                <w:szCs w:val="20"/>
              </w:rPr>
              <w:t xml:space="preserve">MRR</w:t>
            </w:r>
          </w:p>
        </w:tc>
      </w:tr>
      <w:tr>
        <w:tc>
          <w:tcPr>
            <w:tcW w:type="dxa" w:w="2256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(Apr)</w:t>
            </w:r>
          </w:p>
        </w:tc>
        <w:tc>
          <w:tcPr>
            <w:tcW w:type="dxa" w:w="2256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0-2 (pilots only)</w:t>
            </w:r>
          </w:p>
        </w:tc>
        <w:tc>
          <w:tcPr>
            <w:tcW w:type="dxa" w:w="2256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0-1</w:t>
            </w:r>
          </w:p>
        </w:tc>
        <w:tc>
          <w:tcPr>
            <w:tcW w:type="dxa" w:w="225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€0-299</w:t>
            </w:r>
          </w:p>
        </w:tc>
      </w:tr>
      <w:tr>
        <w:tc>
          <w:tcPr>
            <w:tcW w:type="dxa" w:w="2256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(May)</w:t>
            </w:r>
          </w:p>
        </w:tc>
        <w:tc>
          <w:tcPr>
            <w:tcW w:type="dxa" w:w="2256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2-3</w:t>
            </w:r>
          </w:p>
        </w:tc>
        <w:tc>
          <w:tcPr>
            <w:tcW w:type="dxa" w:w="2256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2-4</w:t>
            </w:r>
          </w:p>
        </w:tc>
        <w:tc>
          <w:tcPr>
            <w:tcW w:type="dxa" w:w="225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€1,000-3,000</w:t>
            </w:r>
          </w:p>
        </w:tc>
      </w:tr>
      <w:tr>
        <w:tc>
          <w:tcPr>
            <w:tcW w:type="dxa" w:w="2256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(Jun)</w:t>
            </w:r>
          </w:p>
        </w:tc>
        <w:tc>
          <w:tcPr>
            <w:tcW w:type="dxa" w:w="2256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3-4</w:t>
            </w:r>
          </w:p>
        </w:tc>
        <w:tc>
          <w:tcPr>
            <w:tcW w:type="dxa" w:w="2256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5-8</w:t>
            </w:r>
          </w:p>
        </w:tc>
        <w:tc>
          <w:tcPr>
            <w:tcW w:type="dxa" w:w="2258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€3,000-6,000</w:t>
            </w:r>
          </w:p>
        </w:tc>
      </w:tr>
    </w:tbl>
    <w:p>
      <w:pPr>
        <w:spacing w:before="0" w:after="160"/>
      </w:pPr>
      <w:r>
        <w:rPr>
          <w:sz w:val="4"/>
          <w:szCs w:val="4"/>
        </w:rPr>
        <w:t xml:space="preserve"/>
      </w:r>
    </w:p>
    <w:p>
      <w:pPr>
        <w:pBdr>
          <w:top w:val="none" w:color="FFFFFF" w:sz="0"/>
          <w:left w:val="single" w:color="E8520A" w:sz="6" w:space="8"/>
          <w:bottom w:val="none" w:color="FFFFFF" w:sz="0"/>
          <w:right w:val="none" w:color="FFFFFF" w:sz="0"/>
        </w:pBdr>
        <w:shd w:fill="F4F3EF" w:val="clear"/>
        <w:spacing w:before="200" w:after="200"/>
        <w:ind w:left="2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Phase 0 target: €5-8K MRR by end of month 3.</w:t>
      </w:r>
    </w:p>
    <w:p>
      <w:pPr>
        <w:pBdr>
          <w:bottom w:val="single" w:color="8A8780" w:sz="2" w:space="4"/>
        </w:pBdr>
        <w:spacing w:before="200" w:after="200"/>
      </w:pPr>
      <w:r>
        <w:rPr>
          <w:sz w:val="4"/>
          <w:szCs w:val="4"/>
        </w:rPr>
        <w:t xml:space="preserve"/>
      </w:r>
    </w:p>
    <w:p>
      <w:pPr>
        <w:pStyle w:val="Heading1"/>
        <w:pBdr>
          <w:top w:val="none" w:color="FFFFFF" w:sz="0"/>
          <w:left w:val="none" w:color="FFFFFF" w:sz="0"/>
          <w:bottom w:val="single" w:color="E8520A" w:sz="4" w:space="4"/>
          <w:right w:val="none" w:color="FFFFFF" w:sz="0"/>
        </w:pBdr>
        <w:spacing w:before="36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Discounting Rules</w:t>
      </w:r>
    </w:p>
    <w:p>
      <w:pPr>
        <w:spacing w:before="160" w:after="0"/>
      </w:pPr>
      <w:r>
        <w:rPr>
          <w:sz w:val="4"/>
          <w:szCs w:val="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AF9F6"/>
                <w:sz w:val="20"/>
                <w:szCs w:val="20"/>
              </w:rPr>
              <w:t xml:space="preserve">Rule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AF9F6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Never discount below €499/month for Basis</w:t>
            </w:r>
          </w:p>
        </w:tc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Floor. If they can't afford €499, point them to Hallo Kira.</w:t>
            </w:r>
          </w:p>
        </w:tc>
      </w:tr>
      <w:tr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Never waive setup fee for paid conversions</w:t>
            </w:r>
          </w:p>
        </w:tc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Even at Phase 0 reduced rate. Signals commitment.</w:t>
            </w:r>
          </w:p>
        </w:tc>
      </w:tr>
      <w:tr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Extend audit beyond 2 weeks if needed</w:t>
            </w:r>
          </w:p>
        </w:tc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 cost. If volume is low, 3-4 weeks gives better data.</w:t>
            </w:r>
          </w:p>
        </w:tc>
      </w:tr>
      <w:tr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Extend pilot beyond 2 weeks if needed</w:t>
            </w:r>
          </w:p>
        </w:tc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 €299/month, extra weeks are cheap. Better to extend than lose the conversion.</w:t>
            </w:r>
          </w:p>
        </w:tc>
      </w:tr>
      <w:tr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Offer 3-month commitment for 10% discount</w:t>
            </w:r>
          </w:p>
        </w:tc>
        <w:tc>
          <w:tcPr>
            <w:tcW w:type="dxa" w:w="4513"/>
            <w:tcBorders>
              <w:top w:val="single" w:color="8A8780" w:sz="1"/>
              <w:left w:val="none" w:color="FFFFFF" w:sz="0"/>
              <w:bottom w:val="single" w:color="8A8780" w:sz="1"/>
              <w:right w:val="none" w:color="FFFFFF" w:sz="0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Only if they ask. Don't lead with it. €449/month for Basis on 3-month term.</w:t>
            </w:r>
          </w:p>
        </w:tc>
      </w:tr>
    </w:tbl>
    <w:p>
      <w:pPr>
        <w:spacing w:before="0" w:after="160"/>
      </w:pPr>
      <w:r>
        <w:rPr>
          <w:sz w:val="4"/>
          <w:szCs w:val="4"/>
        </w:rPr>
        <w:t xml:space="preserve"/>
      </w:r>
    </w:p>
    <w:p>
      <w:pPr>
        <w:pBdr>
          <w:bottom w:val="single" w:color="8A8780" w:sz="2" w:space="4"/>
        </w:pBdr>
        <w:spacing w:before="200" w:after="200"/>
      </w:pPr>
      <w:r>
        <w:rPr>
          <w:sz w:val="4"/>
          <w:szCs w:val="4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8A8780"/>
          <w:sz w:val="18"/>
          <w:szCs w:val="18"/>
        </w:rPr>
        <w:t xml:space="preserve">Created: March 2026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8A8780"/>
          <w:sz w:val="18"/>
          <w:szCs w:val="18"/>
        </w:rPr>
        <w:t xml:space="preserve">Status: Operative — Phase 0 pricing applies until 10 paying customers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8A8780"/>
          <w:sz w:val="18"/>
          <w:szCs w:val="18"/>
        </w:rPr>
        <w:t xml:space="preserve">Next step: Build SEPA-Lastschrift setup, prepare invoice template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A8780" w:sz="1" w:space="4"/>
      </w:pBdr>
      <w:tabs>
        <w:tab w:val="right" w:pos="9026"/>
      </w:tabs>
    </w:pPr>
    <w:r>
      <w:rPr>
        <w:rFonts w:ascii="Arial" w:cs="Arial" w:eastAsia="Arial" w:hAnsi="Arial"/>
        <w:color w:val="8A8780"/>
        <w:sz w:val="14"/>
        <w:szCs w:val="14"/>
      </w:rPr>
      <w:t xml:space="preserve">sevenlayers</w:t>
    </w:r>
    <w:r>
      <w:rPr>
        <w:rFonts w:ascii="Arial" w:cs="Arial" w:eastAsia="Arial" w:hAnsi="Arial"/>
        <w:sz w:val="14"/>
        <w:szCs w:val="14"/>
      </w:rPr>
      <w:t xml:space="preserve">	</w:t>
    </w:r>
    <w:r>
      <w:rPr>
        <w:rFonts w:ascii="Arial" w:cs="Arial" w:eastAsia="Arial" w:hAnsi="Arial"/>
        <w:color w:val="8A8780"/>
        <w:sz w:val="14"/>
        <w:szCs w:val="14"/>
      </w:rPr>
      <w:t xml:space="preserve">Seite </w:t>
    </w:r>
    <w:r>
      <w:rPr>
        <w:rFonts w:ascii="Arial" w:cs="Arial" w:eastAsia="Arial" w:hAnsi="Arial"/>
        <w:color w:val="8A87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A8780"/>
        <w:sz w:val="16"/>
        <w:szCs w:val="16"/>
      </w:rPr>
      <w:t xml:space="preserve">sevenlayers</w:t>
    </w:r>
    <w:r>
      <w:rPr>
        <w:rFonts w:ascii="Arial" w:cs="Arial" w:eastAsia="Arial" w:hAnsi="Arial"/>
        <w:color w:val="8A8780"/>
        <w:sz w:val="16"/>
        <w:szCs w:val="16"/>
      </w:rPr>
      <w:t xml:space="preserve">  |  </w:t>
    </w:r>
    <w:r>
      <w:rPr>
        <w:rFonts w:ascii="Arial" w:cs="Arial" w:eastAsia="Arial" w:hAnsi="Arial"/>
        <w:color w:val="8A8780"/>
        <w:spacing w:val="60"/>
        <w:sz w:val="14"/>
        <w:szCs w:val="14"/>
      </w:rPr>
      <w:t xml:space="preserve">VERTRAULICH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color w:val="E8520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/>
        <w:bCs/>
        <w:color w:val="E8520A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2026-03-18T16:57:56.421Z</dcterms:created>
  <dcterms:modified xsi:type="dcterms:W3CDTF">2026-03-18T16:57:56.421Z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