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2800"/>
              <w:left w:type="dxa" w:w="1440"/>
              <w:bottom w:type="dxa" w:w="1000"/>
              <w:right w:type="dxa" w:w="1440"/>
            </w:tcMar>
            <w:vAlign w:val="top"/>
          </w:tcPr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160"/>
              <w:jc w:val="left"/>
            </w:pPr>
            <w:r>
              <w:rPr>
                <w:rFonts w:ascii="Arial" w:cs="Arial" w:eastAsia="Arial" w:hAnsi="Arial"/>
                <w:b/>
                <w:bCs/>
                <w:color w:val="FAF9F6"/>
                <w:sz w:val="56"/>
                <w:szCs w:val="56"/>
              </w:rPr>
              <w:t xml:space="preserve">Phase 0 — Kanzlei Proof: Bridge to v4 Expansion</w:t>
            </w:r>
          </w:p>
          <w:p>
            <w:pPr>
              <w:spacing w:after="280"/>
              <w:jc w:val="left"/>
            </w:pPr>
            <w:r>
              <w:rPr>
                <w:rFonts w:ascii="Arial" w:cs="Arial" w:eastAsia="Arial" w:hAnsi="Arial"/>
                <w:color w:val="8A8780"/>
                <w:sz w:val="26"/>
                <w:szCs w:val="26"/>
              </w:rPr>
              <w:t xml:space="preserve">Phase 0 Bridge — How Law Firm Proof Feeds v4 Expansion</w:t>
            </w:r>
          </w:p>
          <w:p>
            <w:pPr>
              <w:pBdr>
                <w:bottom w:val="single" w:color="E8520A" w:sz="8" w:space="1"/>
              </w:pBdr>
              <w:spacing w:after="400"/>
            </w:pPr>
            <w:r>
              <w:rPr>
                <w:sz w:val="4"/>
                <w:szCs w:val="4"/>
              </w:rPr>
              <w:t xml:space="preserve"/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i/>
                <w:iCs/>
                <w:color w:val="8A8780"/>
                <w:sz w:val="20"/>
                <w:szCs w:val="20"/>
              </w:rPr>
              <w:t xml:space="preserve">Internal — Founder's Eyes Only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8A8780"/>
                <w:sz w:val="20"/>
                <w:szCs w:val="20"/>
              </w:rPr>
              <w:t xml:space="preserve">2026-03-18</w:t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rFonts w:ascii="Arial" w:cs="Arial" w:eastAsia="Arial" w:hAnsi="Arial"/>
                <w:b/>
                <w:bCs/>
                <w:color w:val="E8520A"/>
                <w:sz w:val="28"/>
                <w:szCs w:val="28"/>
              </w:rPr>
              <w:t xml:space="preserve">sevenlayers</w:t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8A8780"/>
                <w:spacing w:val="80"/>
                <w:sz w:val="16"/>
                <w:szCs w:val="16"/>
              </w:rPr>
              <w:t xml:space="preserve">VERTRAULICH / CONFIDENTIAL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/>
      <w:tr>
        <w:trPr>
          <w:tblHeader/>
        </w:trPr>
      </w:tr>
      <w:tr/>
      <w:tr/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One-Sentence Bridge</w:t>
      </w:r>
    </w:p>
    <w:p>
      <w:pPr>
        <w:pBdr>
          <w:top w:val="none" w:color="FFFFFF" w:sz="0"/>
          <w:left w:val="single" w:color="8A8780" w:sz="4" w:space="8"/>
          <w:bottom w:val="none" w:color="FFFFFF" w:sz="0"/>
          <w:right w:val="none" w:color="FFFFFF" w:sz="0"/>
        </w:pBdr>
        <w:spacing w:before="120" w:after="120"/>
        <w:ind w:left="400"/>
      </w:pPr>
      <w:r>
        <w:rPr>
          <w:rFonts w:ascii="Arial" w:cs="Arial" w:eastAsia="Arial" w:hAnsi="Arial"/>
          <w:i/>
          <w:iCs/>
          <w:color w:val="6B6B6B"/>
          <w:sz w:val="22"/>
          <w:szCs w:val="22"/>
        </w:rPr>
        <w:t xml:space="preserve">"Every law firm deployment generates a case study, a template, an ElevenLabs usage proof point, and a RA-MICRO conversation opener. Phase 0 is not the business — it's the foundation the business stands on."</w:t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What Phase 0 Produces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1. Case Studies (for Steuerberater expansion)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From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To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"10 Kanzleien nutzen unsere KI-Assistenz"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"Steuerkanzleien haben dieselben Probleme. Hier sind die Daten."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Arbeitsrecht audit data (missed calls, Fristen)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Translated to: Abgabefristen, verpasste Mandanten in der Steuersaison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Named law firm testimonials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Social proof for professional services broadly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Bdr>
          <w:top w:val="none" w:color="FFFFFF" w:sz="0"/>
          <w:left w:val="single" w:color="E8520A" w:sz="6" w:space="8"/>
          <w:bottom w:val="none" w:color="FFFFFF" w:sz="0"/>
          <w:right w:val="none" w:color="FFFFFF" w:sz="0"/>
        </w:pBdr>
        <w:shd w:fill="F4F3EF" w:val="clear"/>
        <w:spacing w:before="200" w:after="200"/>
        <w:ind w:left="2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bridge pitch to Steuerberater:</w:t>
      </w:r>
    </w:p>
    <w:p>
      <w:pPr>
        <w:pBdr>
          <w:top w:val="none" w:color="FFFFFF" w:sz="0"/>
          <w:left w:val="single" w:color="8A8780" w:sz="4" w:space="8"/>
          <w:bottom w:val="none" w:color="FFFFFF" w:sz="0"/>
          <w:right w:val="none" w:color="FFFFFF" w:sz="0"/>
        </w:pBdr>
        <w:spacing w:before="120" w:after="120"/>
        <w:ind w:left="400"/>
      </w:pPr>
      <w:r>
        <w:rPr>
          <w:rFonts w:ascii="Arial" w:cs="Arial" w:eastAsia="Arial" w:hAnsi="Arial"/>
          <w:i/>
          <w:iCs/>
          <w:color w:val="6B6B6B"/>
          <w:sz w:val="22"/>
          <w:szCs w:val="22"/>
        </w:rPr>
        <w:t xml:space="preserve">"Wir haben für 10 Rechtsanwaltskanzleien die KI-Kanzleiassistenz gebaut. Die Kanzleien fangen damit im Durchschnitt [X] Mandatsanfragen pro Monat auf, die sonst verloren gegangen wären. Steuerkanzleien haben genau dasselbe Problem — besonders in der Steuersaison. Wollen Sie einen 2-Wochen-Audit?"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2. Practice Area Templates (for onboarding efficiency)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Template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Built during Phase 0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Reuse for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Arbeitsrecht intake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First 3 deployments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future Arbeitsrecht firms (80% reuse)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Familienrecht intake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Deployment 4-5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future Familienrecht firms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Mietrecht intake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Deployment 5-7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future Mietrecht firms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General Kanzlei FAQ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deployments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Template for Steuerberater FAQ (70% reuse)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Booking flow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deployments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Identical for all verticals (95% reuse)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Bdr>
          <w:top w:val="none" w:color="FFFFFF" w:sz="0"/>
          <w:left w:val="single" w:color="E8520A" w:sz="6" w:space="8"/>
          <w:bottom w:val="none" w:color="FFFFFF" w:sz="0"/>
          <w:right w:val="none" w:color="FFFFFF" w:sz="0"/>
        </w:pBdr>
        <w:shd w:fill="F4F3EF" w:val="clear"/>
        <w:spacing w:before="200" w:after="200"/>
        <w:ind w:left="2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Template economics: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0 deployment 1: 10 hours setup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0 deployment 5: 4 hours setup (template mature)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1 deployment 15: 2 hours setup (fully automated)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3. ElevenLabs Partnership Proof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Phase 0 Metric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Partnership Value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 law firm deployments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"I have 10 active deployments on your platform"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~15,000-30,000 minutes/month total usage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"$1,200-2,400/month in ElevenLabs platform revenue"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Multi-agent system in production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"Most sophisticated German-language deployment on ElevenLabs"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Vertical go-to-market proven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"I'm bringing you DACH professional services — starting with legal, expanding to 100K+ businesses"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Bdr>
          <w:top w:val="none" w:color="FFFFFF" w:sz="0"/>
          <w:left w:val="single" w:color="E8520A" w:sz="6" w:space="8"/>
          <w:bottom w:val="none" w:color="FFFFFF" w:sz="0"/>
          <w:right w:val="none" w:color="FFFFFF" w:sz="0"/>
        </w:pBdr>
        <w:shd w:fill="F4F3EF" w:val="clear"/>
        <w:spacing w:before="200" w:after="200"/>
        <w:ind w:left="2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CPA negotiation leverage: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Apply for partner program NOW (week 1)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Execute CPA at deployment 5-8 (month 2-3)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Negotiate: partner credits for PoCs, co-marketing (case study blog post), priority support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4. RA-MICRO Conversation Opener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When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What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Deployment 1-3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RA-MICRO-compatible CSV export for contact/matter import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Deployment 5-10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"10 Kanzleien nutzen unsere KI-Assistenz. Alle nutzen RA-MICRO. Wir generieren RA-MICRO-importierbare Datensätze. Reden wir über eine tiefere Integration?"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Deployment 10+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Negotiate formal Kooperationspartnerschaft with technical API access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Phase 0 → Phase 1 Transition Criteria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Criterion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Threshold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Paying customers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10+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Enough to prove repeatable sales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MRR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€5K+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Covers basic founder costs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Practice area templates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3+ battle-tested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Onboarding is efficient enough to scale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 audit → paid conversion rate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&gt;40%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Sales motion is validated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Customer satisfaction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NPS &gt;30 or 3+ willing to be named references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Product quality is validated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ElevenLabs CPA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Executed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Partnership channel is active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Case studies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2+ with named firms and real data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Marketing assets for Phase 1 outreach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When criteria are met: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Raise prices to full v4 tiers (remove Phase 0 setup discounts)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Post first hire (customer success)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Begin Steuerberater outreach (Phase 2)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Submit DATEV partnership application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RA-MICRO partnership conversation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Apply for DAV Legal Tech cooperation partnership</w:t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Phase 0 → v4 Strategy Alignment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v4 Strategic Goal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Phase 0 Contribution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Platform company (own IP, own customer)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Every deployment runs on OUR platform, not just ElevenLabs. Booking, CRM, dashboard = our moat.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Multi-vertical DACH expansion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Law firm templates transfer 70-80% to Steuerberater. Case studies transfer as social proof.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ElevenLabs partnership (accelerant, not dependency)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Real usage revenue. Technical credential. But our platform owns the customer relationship.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RA-MICRO integration moat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CSV export in Phase 0 → API integration in Phase 1 → deep Kooperationspartnerschaft in Phase 2.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€25K MRR in 12 months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0 contributes €5-8K MRR. Phase 1 ramp adds €10-17K. Steuerberater expansion adds remaining.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What Phase 0 IS NOT Allowed to Become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Not a services company.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If we're doing 20+ hours of custom work per law firm, the model is broken. Templates must reduce onboarding.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Not an ElevenLabs reseller.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If our only value is "we configure ElevenLabs for you," we're a consultancy. The platform (booking, CRM, dashboard) IS the product.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Not a Hallo Kira clone.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If we're just answering phones at €499/month, we're an overpriced version of Kira. The qualification depth, booking, and dashboard justify the premium.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Not a permanent state.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Phase 0 ends at 10 customers. After that, Phase 1 rules apply — higher prices, more templates, first hire, expansion preparation.</w:t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8A8780"/>
          <w:sz w:val="18"/>
          <w:szCs w:val="18"/>
        </w:rPr>
        <w:t xml:space="preserve">Created: March 2026</w:t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8A8780"/>
          <w:sz w:val="18"/>
          <w:szCs w:val="18"/>
        </w:rPr>
        <w:t xml:space="preserve">Status: Operative — Phase 0 begins now, bridge metrics tracked weekly</w:t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8A8780"/>
          <w:sz w:val="18"/>
          <w:szCs w:val="18"/>
        </w:rPr>
        <w:t xml:space="preserve">Next step: Execute Phase 0 Week 1 (product wire-up), then Week 2 (outreach + legalXchange prep)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A8780" w:sz="1" w:space="4"/>
      </w:pBdr>
      <w:tabs>
        <w:tab w:val="right" w:pos="9026"/>
      </w:tabs>
    </w:pPr>
    <w:r>
      <w:rPr>
        <w:rFonts w:ascii="Arial" w:cs="Arial" w:eastAsia="Arial" w:hAnsi="Arial"/>
        <w:color w:val="8A8780"/>
        <w:sz w:val="14"/>
        <w:szCs w:val="14"/>
      </w:rPr>
      <w:t xml:space="preserve">sevenlayers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Arial" w:cs="Arial" w:eastAsia="Arial" w:hAnsi="Arial"/>
        <w:color w:val="8A8780"/>
        <w:sz w:val="14"/>
        <w:szCs w:val="14"/>
      </w:rPr>
      <w:t xml:space="preserve">Seite </w:t>
    </w:r>
    <w:r>
      <w:rPr>
        <w:rFonts w:ascii="Arial" w:cs="Arial" w:eastAsia="Arial" w:hAnsi="Arial"/>
        <w:color w:val="8A87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A8780"/>
        <w:sz w:val="16"/>
        <w:szCs w:val="16"/>
      </w:rPr>
      <w:t xml:space="preserve">sevenlayers</w:t>
    </w:r>
    <w:r>
      <w:rPr>
        <w:rFonts w:ascii="Arial" w:cs="Arial" w:eastAsia="Arial" w:hAnsi="Arial"/>
        <w:color w:val="8A8780"/>
        <w:sz w:val="16"/>
        <w:szCs w:val="16"/>
      </w:rPr>
      <w:t xml:space="preserve">  |  </w:t>
    </w:r>
    <w:r>
      <w:rPr>
        <w:rFonts w:ascii="Arial" w:cs="Arial" w:eastAsia="Arial" w:hAnsi="Arial"/>
        <w:color w:val="8A8780"/>
        <w:spacing w:val="60"/>
        <w:sz w:val="14"/>
        <w:szCs w:val="14"/>
      </w:rPr>
      <w:t xml:space="preserve">VERTRAULICH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  <w:color w:val="E8520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/>
        <w:bCs/>
        <w:color w:val="E8520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2026-03-18T16:57:56.470Z</dcterms:created>
  <dcterms:modified xsi:type="dcterms:W3CDTF">2026-03-18T16:57:56.470Z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