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  <w:jc w:val="left"/>
      </w:pPr>
      <w:r>
        <w:drawing>
          <wp:inline xmlns:a="http://schemas.openxmlformats.org/drawingml/2006/main" xmlns:pic="http://schemas.openxmlformats.org/drawingml/2006/picture">
            <wp:extent cx="1800000" cy="553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nlayers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5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/>
          <w:b/>
          <w:color w:val="E8520A"/>
          <w:sz w:val="56"/>
        </w:rPr>
        <w:t>DSGVO-Konformität</w:t>
        <w:br/>
        <w:t>unserer Plattform</w:t>
      </w:r>
    </w:p>
    <w:p>
      <w:pPr>
        <w:spacing w:before="80" w:after="80"/>
        <w:pBdr>
          <w:bottom w:val="single" w:sz="6" w:space="1" w:color="E8520A"/>
        </w:pBdr>
      </w:pPr>
    </w:p>
    <w:p>
      <w:pPr>
        <w:spacing w:after="480"/>
      </w:pPr>
      <w:r>
        <w:rPr>
          <w:rFonts w:ascii="Calibri" w:hAnsi="Calibri"/>
          <w:color w:val="555555"/>
          <w:sz w:val="28"/>
        </w:rPr>
        <w:t>Datenschutz &amp; Berufsgeheimnisschutz für Kanzleien</w:t>
      </w:r>
    </w:p>
    <w:p>
      <w:pPr>
        <w:spacing w:after="120"/>
      </w:pPr>
      <w:r>
        <w:rPr>
          <w:rFonts w:ascii="Calibri" w:hAnsi="Calibri"/>
          <w:b w:val="0"/>
          <w:i w:val="0"/>
          <w:color w:val="555555"/>
          <w:sz w:val="20"/>
        </w:rPr>
        <w:t>Dieses Dokument richtet sich an Kanzleien (Steuerberater, Rechtsanwälte, Wirtschaftsprüfer), die unsere Plattform mit KI-Assistenzfunktionen einsetzen möchten. Es fasst die technischen, organisatorischen und rechtlichen Maßnahmen zusammen, die den Schutz personenbezogener Daten und beruflicher Geheimnisse gewährleisten.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18"/>
        </w:rPr>
        <w:t>Vertraulich  |  Stand: März 2026  |  Version 1.0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8520A"/>
        </w:rPr>
        <w:t>Inhaltsverzeichnis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1. Unser Datenschutz-Ansatz: Fail-Closed by Design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2. Schutz beruflicher Geheimnisse (§ 203 StGB / § 62a StBerG)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3. Technische und organisatorische Maßnahmen (TOMs)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4. Auftragsverarbeitung (AVV nach Art. 28 DSGVO)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5. Betroffenenrechte (Art. 12–23 DSGVO)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6. Sicherheitsvorfälle &amp; Meldepflichten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7. Datenverarbeitung im Überblick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8. Verfügbare Compliance-Dokumentation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9. Häufige Fragen (FAQ)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10. Zusammenfassung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8520A"/>
        </w:rPr>
        <w:t>1. Unser Datenschutz-Ansatz: Fail-Closed by Design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Unsere Plattform verfolgt einen Fail-Closed-Ansatz: Im Zweifelsfall wird der Zugang gesperrt, nicht geöffnet. Das bedeutet konkret: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●</w:t>
      </w:r>
      <w:r>
        <w:rPr>
          <w:rFonts w:ascii="Calibri" w:hAnsi="Calibri"/>
          <w:color w:val="1A1A1A"/>
          <w:sz w:val="19"/>
        </w:rPr>
        <w:t xml:space="preserve"> Kein Dienst wird freigeschaltet, bevor eine vollständige datenschutzrechtliche Prüfung abgeschlossen ist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●</w:t>
      </w:r>
      <w:r>
        <w:rPr>
          <w:rFonts w:ascii="Calibri" w:hAnsi="Calibri"/>
          <w:color w:val="1A1A1A"/>
          <w:sz w:val="19"/>
        </w:rPr>
        <w:t xml:space="preserve"> Keine Datenverarbeitung ohne dokumentierte Rechtsgrundlage (Art. 6 DSGVO)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●</w:t>
      </w:r>
      <w:r>
        <w:rPr>
          <w:rFonts w:ascii="Calibri" w:hAnsi="Calibri"/>
          <w:color w:val="1A1A1A"/>
          <w:sz w:val="19"/>
        </w:rPr>
        <w:t xml:space="preserve"> Kein KI-gestützter Vorgang ohne menschliche Freigabe (Human-in-the-Loop)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●</w:t>
      </w:r>
      <w:r>
        <w:rPr>
          <w:rFonts w:ascii="Calibri" w:hAnsi="Calibri"/>
          <w:color w:val="1A1A1A"/>
          <w:sz w:val="19"/>
        </w:rPr>
        <w:t xml:space="preserve"> Keine Weitergabe von Mandantendaten an Dritte ohne vertragliche Absicherung (AVV nach Art. 28 DSGVO)</w:t>
      </w:r>
    </w:p>
    <w:p>
      <w:pPr>
        <w:spacing w:before="120" w:after="120"/>
        <w:shd w:fill="FDF2EC"/>
        <w:pBdr>
          <w:left w:val="single" w:sz="24" w:space="4" w:color="E8520A"/>
        </w:pBdr>
      </w:pPr>
      <w:r>
        <w:rPr>
          <w:rFonts w:ascii="Calibri" w:hAnsi="Calibri"/>
          <w:i/>
          <w:color w:val="CC4709"/>
          <w:sz w:val="19"/>
        </w:rPr>
        <w:t>Für Sie bedeutet das: Selbst wenn eine Funktion technisch verfügbar wäre, wird sie erst nach vollständiger Prüfung und Freigabe aktiviert.</w:t>
      </w:r>
    </w:p>
    <w:p>
      <w:pPr>
        <w:pStyle w:val="Heading1"/>
      </w:pPr>
      <w:r>
        <w:rPr>
          <w:rFonts w:ascii="Calibri" w:hAnsi="Calibri"/>
          <w:color w:val="E8520A"/>
        </w:rPr>
        <w:t>2. Schutz beruflicher Geheimnisse (§ 203 StGB / § 62a StBerG)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Als Kanzlei unterliegen Sie besonderen Verschwiegenheitspflichten. Unsere Plattform berücksichtigt diese vollständig:</w:t>
      </w:r>
    </w:p>
    <w:p>
      <w:pPr>
        <w:pStyle w:val="Heading2"/>
      </w:pPr>
      <w:r>
        <w:rPr>
          <w:rFonts w:ascii="Calibri" w:hAnsi="Calibri"/>
          <w:color w:val="E8520A"/>
        </w:rPr>
        <w:t>Datenklassifizierung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Klasse</w:t>
            </w:r>
          </w:p>
        </w:tc>
        <w:tc>
          <w:tcPr>
            <w:tcW w:type="dxa" w:w="2835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4252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Schutzmaßnahmen</w:t>
            </w:r>
          </w:p>
        </w:tc>
      </w:tr>
      <w:tr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Öffentlich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Allgemein zugängliche Informationen</w:t>
            </w:r>
          </w:p>
        </w:tc>
        <w:tc>
          <w:tcPr>
            <w:tcW w:type="dxa" w:w="425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Standardschutz</w:t>
            </w:r>
          </w:p>
        </w:tc>
      </w:tr>
      <w:tr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Intern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Betriebliche Daten ohne Mandantenbezug</w:t>
            </w:r>
          </w:p>
        </w:tc>
        <w:tc>
          <w:tcPr>
            <w:tcW w:type="dxa" w:w="425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Zugriffskontrolle, Protokollierung</w:t>
            </w:r>
          </w:p>
        </w:tc>
      </w:tr>
      <w:tr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Vertraulich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Personenbezogene Daten, Geschäftsdaten</w:t>
            </w:r>
          </w:p>
        </w:tc>
        <w:tc>
          <w:tcPr>
            <w:tcW w:type="dxa" w:w="425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Verschlüsselung, RBAC, Audit-Log</w:t>
            </w:r>
          </w:p>
        </w:tc>
      </w:tr>
      <w:tr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Berufsgeheimnis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Mandantenspezifische Daten</w:t>
            </w:r>
          </w:p>
        </w:tc>
        <w:tc>
          <w:tcPr>
            <w:tcW w:type="dxa" w:w="425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Höchste Schutzklasse: Verschlüsselung, RBAC + MFA, menschliche Freigabe, vollständige Protokollierung</w:t>
            </w:r>
          </w:p>
        </w:tc>
      </w:tr>
    </w:tbl>
    <w:p>
      <w:pPr>
        <w:pStyle w:val="Heading2"/>
      </w:pPr>
      <w:r>
        <w:rPr>
          <w:rFonts w:ascii="Calibri" w:hAnsi="Calibri"/>
          <w:color w:val="E8520A"/>
        </w:rPr>
        <w:t>Verbindliche Regeln für den KI-Assistenten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1. Keine autonome Kommunikation – </w:t>
      </w:r>
      <w:r>
        <w:rPr>
          <w:rFonts w:ascii="Calibri" w:hAnsi="Calibri"/>
          <w:color w:val="1A1A1A"/>
          <w:sz w:val="19"/>
        </w:rPr>
        <w:t>Der KI-Assistent versendet keine Nachrichten, E-Mails oder Dokumente ohne Ihre explizite Freigabe.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2. Keine autonome Rechts- oder Steuerberatung – </w:t>
      </w:r>
      <w:r>
        <w:rPr>
          <w:rFonts w:ascii="Calibri" w:hAnsi="Calibri"/>
          <w:color w:val="1A1A1A"/>
          <w:sz w:val="19"/>
        </w:rPr>
        <w:t>Der Assistent erstellt Entwürfe und Vorschläge; die fachliche Verantwortung bleibt beim Berufsträger.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3. Kein Modelltraining mit Ihren Daten – </w:t>
      </w:r>
      <w:r>
        <w:rPr>
          <w:rFonts w:ascii="Calibri" w:hAnsi="Calibri"/>
          <w:color w:val="1A1A1A"/>
          <w:sz w:val="19"/>
        </w:rPr>
        <w:t>Ihre Daten werden nicht zum Training von KI-Modellen verwendet.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4. Datenminimierung in Prompts – </w:t>
      </w:r>
      <w:r>
        <w:rPr>
          <w:rFonts w:ascii="Calibri" w:hAnsi="Calibri"/>
          <w:color w:val="1A1A1A"/>
          <w:sz w:val="19"/>
        </w:rPr>
        <w:t>Es werden nur die für den jeweiligen Vorgang erforderlichen Daten an das KI-Modell übermittelt.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5. Audit-Protokollierung – </w:t>
      </w:r>
      <w:r>
        <w:rPr>
          <w:rFonts w:ascii="Calibri" w:hAnsi="Calibri"/>
          <w:color w:val="1A1A1A"/>
          <w:sz w:val="19"/>
        </w:rPr>
        <w:t>Jede KI-Interaktion wird revisionssicher protokolliert.</w:t>
      </w:r>
    </w:p>
    <w:p>
      <w:pPr>
        <w:pStyle w:val="Heading1"/>
      </w:pPr>
      <w:r>
        <w:rPr>
          <w:rFonts w:ascii="Calibri" w:hAnsi="Calibri"/>
          <w:color w:val="E8520A"/>
        </w:rPr>
        <w:t>3. Technische und organisatorische Maßnahmen (TOMs)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Unsere Plattform implementiert umfassende Schutzmaßnahmen gemäß Art. 32 DSGVO:</w:t>
      </w:r>
    </w:p>
    <w:p>
      <w:pPr>
        <w:pStyle w:val="Heading2"/>
      </w:pPr>
      <w:r>
        <w:rPr>
          <w:rFonts w:ascii="Calibri" w:hAnsi="Calibri"/>
          <w:color w:val="E8520A"/>
        </w:rPr>
        <w:t>Zugriffskontrolle &amp; Authentifizierung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Rollenbasierte Zugriffskontrolle (RBAC) –</w:t>
      </w:r>
      <w:r>
        <w:rPr>
          <w:rFonts w:ascii="Calibri" w:hAnsi="Calibri"/>
          <w:color w:val="1A1A1A"/>
          <w:sz w:val="19"/>
        </w:rPr>
        <w:t xml:space="preserve"> Granulare Berechtigungen pro Benutzer und Organisation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Multi-Faktor-Authentifizierung (MFA) –</w:t>
      </w:r>
      <w:r>
        <w:rPr>
          <w:rFonts w:ascii="Calibri" w:hAnsi="Calibri"/>
          <w:color w:val="1A1A1A"/>
          <w:sz w:val="19"/>
        </w:rPr>
        <w:t xml:space="preserve"> Zusätzliche Absicherung des Zugangs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Mandantentrennung –</w:t>
      </w:r>
      <w:r>
        <w:rPr>
          <w:rFonts w:ascii="Calibri" w:hAnsi="Calibri"/>
          <w:color w:val="1A1A1A"/>
          <w:sz w:val="19"/>
        </w:rPr>
        <w:t xml:space="preserve"> Strikte Datenisolierung zwischen Organisationen</w:t>
      </w:r>
    </w:p>
    <w:p>
      <w:pPr>
        <w:pStyle w:val="Heading2"/>
      </w:pPr>
      <w:r>
        <w:rPr>
          <w:rFonts w:ascii="Calibri" w:hAnsi="Calibri"/>
          <w:color w:val="E8520A"/>
        </w:rPr>
        <w:t>Verschlüsselung &amp; Transport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TLS-Verschlüsselung</w:t>
      </w:r>
      <w:r>
        <w:rPr>
          <w:rFonts w:ascii="Calibri" w:hAnsi="Calibri"/>
          <w:color w:val="1A1A1A"/>
          <w:sz w:val="19"/>
        </w:rPr>
        <w:t xml:space="preserve"> für alle Datenübertragungen (in transit)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Verschlüsselung</w:t>
      </w:r>
      <w:r>
        <w:rPr>
          <w:rFonts w:ascii="Calibri" w:hAnsi="Calibri"/>
          <w:color w:val="1A1A1A"/>
          <w:sz w:val="19"/>
        </w:rPr>
        <w:t xml:space="preserve"> gespeicherter Daten (at rest)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Sichere API-Kommunikation</w:t>
      </w:r>
      <w:r>
        <w:rPr>
          <w:rFonts w:ascii="Calibri" w:hAnsi="Calibri"/>
          <w:color w:val="1A1A1A"/>
          <w:sz w:val="19"/>
        </w:rPr>
        <w:t xml:space="preserve"> zwischen allen Systemkomponenten</w:t>
      </w:r>
    </w:p>
    <w:p>
      <w:pPr>
        <w:pStyle w:val="Heading2"/>
      </w:pPr>
      <w:r>
        <w:rPr>
          <w:rFonts w:ascii="Calibri" w:hAnsi="Calibri"/>
          <w:color w:val="E8520A"/>
        </w:rPr>
        <w:t>Protokollierung &amp; Nachvollziehbarkeit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Compliance-Audit-Log</w:t>
      </w:r>
      <w:r>
        <w:rPr>
          <w:rFonts w:ascii="Calibri" w:hAnsi="Calibri"/>
          <w:color w:val="1A1A1A"/>
          <w:sz w:val="19"/>
        </w:rPr>
        <w:t xml:space="preserve"> – Alle relevanten Vorgänge werden automatisch protokolliert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Unveränderliche Audit-Einträge</w:t>
      </w:r>
      <w:r>
        <w:rPr>
          <w:rFonts w:ascii="Calibri" w:hAnsi="Calibri"/>
          <w:color w:val="1A1A1A"/>
          <w:sz w:val="19"/>
        </w:rPr>
        <w:t xml:space="preserve"> – Protokolle können nicht nachträglich manipuliert werden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Nachvollziehbarkeit</w:t>
      </w:r>
      <w:r>
        <w:rPr>
          <w:rFonts w:ascii="Calibri" w:hAnsi="Calibri"/>
          <w:color w:val="1A1A1A"/>
          <w:sz w:val="19"/>
        </w:rPr>
        <w:t xml:space="preserve"> jeder KI-gestützten Aktion mit Zeitstempel, Benutzer und Kontext</w:t>
      </w:r>
    </w:p>
    <w:p>
      <w:pPr>
        <w:pStyle w:val="Heading2"/>
      </w:pPr>
      <w:r>
        <w:rPr>
          <w:rFonts w:ascii="Calibri" w:hAnsi="Calibri"/>
          <w:color w:val="E8520A"/>
        </w:rPr>
        <w:t>Verfügbarkeit &amp; Wiederherstellung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Automatische Backups</w:t>
      </w:r>
      <w:r>
        <w:rPr>
          <w:rFonts w:ascii="Calibri" w:hAnsi="Calibri"/>
          <w:color w:val="1A1A1A"/>
          <w:sz w:val="19"/>
        </w:rPr>
        <w:t xml:space="preserve"> der Datenbank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Definierte Wiederherstellungsprozesse</w:t>
      </w:r>
      <w:r>
        <w:rPr>
          <w:rFonts w:ascii="Calibri" w:hAnsi="Calibri"/>
          <w:color w:val="1A1A1A"/>
          <w:sz w:val="19"/>
        </w:rPr>
        <w:t xml:space="preserve"> für den Notfall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Überwachung und Alarmierung</w:t>
      </w:r>
      <w:r>
        <w:rPr>
          <w:rFonts w:ascii="Calibri" w:hAnsi="Calibri"/>
          <w:color w:val="1A1A1A"/>
          <w:sz w:val="19"/>
        </w:rPr>
        <w:t xml:space="preserve"> bei Systemstörungen</w:t>
      </w:r>
    </w:p>
    <w:p>
      <w:pPr>
        <w:pStyle w:val="Heading1"/>
      </w:pPr>
      <w:r>
        <w:rPr>
          <w:rFonts w:ascii="Calibri" w:hAnsi="Calibri"/>
          <w:color w:val="E8520A"/>
        </w:rPr>
        <w:t>4. Auftragsverarbeitung (AVV nach Art. 28 DSGVO)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Für jeden Dienstleister, der personenbezogene Daten verarbeitet, wird eine Auftragsverarbeitungsvereinbarung (AVV) abgeschlossen. Unsere AVV umfasst: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Verarbeitungszwecke und Datenkategorien – </w:t>
      </w:r>
      <w:r>
        <w:rPr>
          <w:rFonts w:ascii="Calibri" w:hAnsi="Calibri"/>
          <w:color w:val="1A1A1A"/>
          <w:sz w:val="19"/>
        </w:rPr>
        <w:t>Exakte Festlegung, welche Daten wofür verarbeitet werden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Vertraulichkeitsverpflichtung – </w:t>
      </w:r>
      <w:r>
        <w:rPr>
          <w:rFonts w:ascii="Calibri" w:hAnsi="Calibri"/>
          <w:color w:val="1A1A1A"/>
          <w:sz w:val="19"/>
        </w:rPr>
        <w:t>Erweitert um die Anforderungen des § 203 StGB und § 62a StBerG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Unterauftragnehmer-Management – </w:t>
      </w:r>
      <w:r>
        <w:rPr>
          <w:rFonts w:ascii="Calibri" w:hAnsi="Calibri"/>
          <w:color w:val="1A1A1A"/>
          <w:sz w:val="19"/>
        </w:rPr>
        <w:t>Transparente Liste aller Unterauftragnehmer mit Widerspruchsrecht bei Änderungen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Drittlandtransfers – </w:t>
      </w:r>
      <w:r>
        <w:rPr>
          <w:rFonts w:ascii="Calibri" w:hAnsi="Calibri"/>
          <w:color w:val="1A1A1A"/>
          <w:sz w:val="19"/>
        </w:rPr>
        <w:t>Dokumentierte Schutzmaßnahmen gemäß Art. 44 ff. DSGVO (SCCs, Angemessenheitsbeschlüsse)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Unterstützung bei Betroffenenrechten – </w:t>
      </w:r>
      <w:r>
        <w:rPr>
          <w:rFonts w:ascii="Calibri" w:hAnsi="Calibri"/>
          <w:color w:val="1A1A1A"/>
          <w:sz w:val="19"/>
        </w:rPr>
        <w:t>Technische Unterstützung für Auskunft, Löschung, Berichtigung etc.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Meldepflichten – </w:t>
      </w:r>
      <w:r>
        <w:rPr>
          <w:rFonts w:ascii="Calibri" w:hAnsi="Calibri"/>
          <w:color w:val="1A1A1A"/>
          <w:sz w:val="19"/>
        </w:rPr>
        <w:t>Benachrichtigung bei Sicherheitsvorfällen innerhalb von 24 Stunden</w:t>
      </w:r>
    </w:p>
    <w:p>
      <w:pPr>
        <w:pStyle w:val="Heading1"/>
      </w:pPr>
      <w:r>
        <w:rPr>
          <w:rFonts w:ascii="Calibri" w:hAnsi="Calibri"/>
          <w:color w:val="E8520A"/>
        </w:rPr>
        <w:t>5. Betroffenenrechte (Art. 12–23 DSGVO)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Wir unterstützen Sie bei der Erfüllung Ihrer Pflichten gegenüber betroffenen Personen: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Recht</w:t>
            </w:r>
          </w:p>
        </w:tc>
        <w:tc>
          <w:tcPr>
            <w:tcW w:type="dxa" w:w="6236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Umsetzung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Auskunft (Art. 15)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Export aller gespeicherten Daten einer betroffenen Person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Berichtigung (Art. 16)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Korrektur unrichtiger Daten über die Plattform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Löschung (Art. 17)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Löschung personenbezogener Daten auf Anfrage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Einschränkung (Art. 18)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Sperrung der Verarbeitung bei laufender Prüfung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Datenübertragbarkeit (Art. 20)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Bereitstellung der Daten in maschinenlesbarem Format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Widerspruch (Art. 21)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Einstellung der Verarbeitung bei berechtigtem Widerspruch</w:t>
            </w:r>
          </w:p>
        </w:tc>
      </w:tr>
    </w:tbl>
    <w:p>
      <w:pPr>
        <w:pStyle w:val="Heading2"/>
      </w:pPr>
      <w:r>
        <w:rPr>
          <w:rFonts w:ascii="Calibri" w:hAnsi="Calibri"/>
          <w:color w:val="E8520A"/>
        </w:rPr>
        <w:t>Bearbeitungszeiten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Eingangsbestätigung:</w:t>
      </w:r>
      <w:r>
        <w:rPr>
          <w:rFonts w:ascii="Calibri" w:hAnsi="Calibri"/>
          <w:color w:val="1A1A1A"/>
          <w:sz w:val="19"/>
        </w:rPr>
        <w:t xml:space="preserve"> ≤ 2 Werktage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Identitätsprüfung:</w:t>
      </w:r>
      <w:r>
        <w:rPr>
          <w:rFonts w:ascii="Calibri" w:hAnsi="Calibri"/>
          <w:color w:val="1A1A1A"/>
          <w:sz w:val="19"/>
        </w:rPr>
        <w:t xml:space="preserve"> ≤ 5 Werktage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Vollständige Bearbeitung:</w:t>
      </w:r>
      <w:r>
        <w:rPr>
          <w:rFonts w:ascii="Calibri" w:hAnsi="Calibri"/>
          <w:color w:val="1A1A1A"/>
          <w:sz w:val="19"/>
        </w:rPr>
        <w:t xml:space="preserve"> ≤ 30 Kalendertage</w:t>
      </w:r>
    </w:p>
    <w:p>
      <w:pPr>
        <w:pStyle w:val="Heading1"/>
      </w:pPr>
      <w:r>
        <w:rPr>
          <w:rFonts w:ascii="Calibri" w:hAnsi="Calibri"/>
          <w:color w:val="E8520A"/>
        </w:rPr>
        <w:t>6. Sicherheitsvorfälle &amp; Meldepflichten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Unser Incident-Response-Prozess ist auf die besonderen Anforderungen von Kanzleien ausgerichtet:</w:t>
      </w:r>
    </w:p>
    <w:p>
      <w:pPr>
        <w:pStyle w:val="Heading2"/>
      </w:pPr>
      <w:r>
        <w:rPr>
          <w:rFonts w:ascii="Calibri" w:hAnsi="Calibri"/>
          <w:color w:val="E8520A"/>
        </w:rPr>
        <w:t>Reaktionszeiten nach Schweregrad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Schweregrad</w:t>
            </w:r>
          </w:p>
        </w:tc>
        <w:tc>
          <w:tcPr>
            <w:tcW w:type="dxa" w:w="1984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Reaktionszeit</w:t>
            </w:r>
          </w:p>
        </w:tc>
        <w:tc>
          <w:tcPr>
            <w:tcW w:type="dxa" w:w="4819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Beispiel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SEV-1 (Kritisch)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≤ 15 Minuten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Verdacht auf Zugriff auf Mandantendaten / Berufsgeheimnisse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SEV-2 (Hoch)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≤ 30 Minuten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Sicherheitsvorfall mit möglichem Personenbezug</w:t>
            </w:r>
          </w:p>
        </w:tc>
      </w:tr>
      <w:tr>
        <w:tc>
          <w:tcPr>
            <w:tcW w:type="dxa" w:w="22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SEV-3 (Mittel)</w:t>
            </w:r>
          </w:p>
        </w:tc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≤ 4 Stunden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Sicherheitsvorfall ohne Personenbezug</w:t>
            </w:r>
          </w:p>
        </w:tc>
      </w:tr>
    </w:tbl>
    <w:p>
      <w:pPr>
        <w:pStyle w:val="Heading2"/>
      </w:pPr>
      <w:r>
        <w:rPr>
          <w:rFonts w:ascii="Calibri" w:hAnsi="Calibri"/>
          <w:color w:val="E8520A"/>
        </w:rPr>
        <w:t>Meldepflichten gemäß Art. 33/34 DSGVO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Meldung</w:t>
      </w:r>
      <w:r>
        <w:rPr>
          <w:rFonts w:ascii="Calibri" w:hAnsi="Calibri"/>
          <w:color w:val="1A1A1A"/>
          <w:sz w:val="19"/>
        </w:rPr>
        <w:t xml:space="preserve"> an die Aufsichtsbehörde innerhalb von 72 Stunden nach Kenntnisnahme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Benachrichtigung</w:t>
      </w:r>
      <w:r>
        <w:rPr>
          <w:rFonts w:ascii="Calibri" w:hAnsi="Calibri"/>
          <w:color w:val="1A1A1A"/>
          <w:sz w:val="19"/>
        </w:rPr>
        <w:t xml:space="preserve"> der Betroffenen bei hohem Risiko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Dokumentation</w:t>
      </w:r>
      <w:r>
        <w:rPr>
          <w:rFonts w:ascii="Calibri" w:hAnsi="Calibri"/>
          <w:color w:val="1A1A1A"/>
          <w:sz w:val="19"/>
        </w:rPr>
        <w:t xml:space="preserve"> jedes Vorfalls mit lückenloser Nachverfolgung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Postmortem-Analyse</w:t>
      </w:r>
      <w:r>
        <w:rPr>
          <w:rFonts w:ascii="Calibri" w:hAnsi="Calibri"/>
          <w:color w:val="1A1A1A"/>
          <w:sz w:val="19"/>
        </w:rPr>
        <w:t xml:space="preserve"> mit konkreten Verbesserungsmaßnahmen</w:t>
      </w:r>
    </w:p>
    <w:p>
      <w:pPr>
        <w:pStyle w:val="Heading1"/>
      </w:pPr>
      <w:r>
        <w:rPr>
          <w:rFonts w:ascii="Calibri" w:hAnsi="Calibri"/>
          <w:color w:val="E8520A"/>
        </w:rPr>
        <w:t>7. Datenverarbeitung im Überblick</w:t>
      </w:r>
    </w:p>
    <w:p>
      <w:pPr>
        <w:pStyle w:val="Heading2"/>
      </w:pPr>
      <w:r>
        <w:rPr>
          <w:rFonts w:ascii="Calibri" w:hAnsi="Calibri"/>
          <w:color w:val="E8520A"/>
        </w:rPr>
        <w:t>Verarbeitungszwecke und Rechtsgrundlagen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Zweck</w:t>
            </w:r>
          </w:p>
        </w:tc>
        <w:tc>
          <w:tcPr>
            <w:tcW w:type="dxa" w:w="3685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Rechtsgrundlage</w:t>
            </w:r>
          </w:p>
        </w:tc>
        <w:tc>
          <w:tcPr>
            <w:tcW w:type="dxa" w:w="3402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Datenkategorien</w:t>
            </w:r>
          </w:p>
        </w:tc>
      </w:tr>
      <w:tr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Kontoverwaltung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Art. 6 (1)(b) – Vertragsdurchführung</w:t>
            </w:r>
          </w:p>
        </w:tc>
        <w:tc>
          <w:tcPr>
            <w:tcW w:type="dxa" w:w="340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Name, E-Mail, Kontaktdaten</w:t>
            </w:r>
          </w:p>
        </w:tc>
      </w:tr>
      <w:tr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KI-Assistenz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Art. 6 (1)(b) – Vertragsdurchführung</w:t>
            </w:r>
          </w:p>
        </w:tc>
        <w:tc>
          <w:tcPr>
            <w:tcW w:type="dxa" w:w="340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Eingabedaten, Entwürfe (minimiert)</w:t>
            </w:r>
          </w:p>
        </w:tc>
      </w:tr>
      <w:tr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Abrechnung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Art. 6 (1)(b) + (c) – Vertrag + gesetzl. Pflicht</w:t>
            </w:r>
          </w:p>
        </w:tc>
        <w:tc>
          <w:tcPr>
            <w:tcW w:type="dxa" w:w="340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Zahlungsdaten, Rechnungsadresse</w:t>
            </w:r>
          </w:p>
        </w:tc>
      </w:tr>
      <w:tr>
        <w:tc>
          <w:tcPr>
            <w:tcW w:type="dxa" w:w="19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Sicherheit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Art. 6 (1)(f) – Berechtigtes Interesse</w:t>
            </w:r>
          </w:p>
        </w:tc>
        <w:tc>
          <w:tcPr>
            <w:tcW w:type="dxa" w:w="340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Zugriffsprotokolle, IP-Adressen</w:t>
            </w:r>
          </w:p>
        </w:tc>
      </w:tr>
    </w:tbl>
    <w:p>
      <w:pPr>
        <w:pStyle w:val="Heading2"/>
      </w:pPr>
      <w:r>
        <w:rPr>
          <w:rFonts w:ascii="Calibri" w:hAnsi="Calibri"/>
          <w:color w:val="E8520A"/>
        </w:rPr>
        <w:t>Ihre Daten werden NICHT verwendet für: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✗</w:t>
      </w:r>
      <w:r>
        <w:rPr>
          <w:rFonts w:ascii="Calibri" w:hAnsi="Calibri"/>
          <w:color w:val="1A1A1A"/>
          <w:sz w:val="19"/>
        </w:rPr>
        <w:t xml:space="preserve"> Training von KI-Modellen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✗</w:t>
      </w:r>
      <w:r>
        <w:rPr>
          <w:rFonts w:ascii="Calibri" w:hAnsi="Calibri"/>
          <w:color w:val="1A1A1A"/>
          <w:sz w:val="19"/>
        </w:rPr>
        <w:t xml:space="preserve"> Profilbildung oder automatisierte Entscheidungsfindung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✗</w:t>
      </w:r>
      <w:r>
        <w:rPr>
          <w:rFonts w:ascii="Calibri" w:hAnsi="Calibri"/>
          <w:color w:val="1A1A1A"/>
          <w:sz w:val="19"/>
        </w:rPr>
        <w:t xml:space="preserve"> Weitergabe an Dritte zu Werbezwecken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>✗</w:t>
      </w:r>
      <w:r>
        <w:rPr>
          <w:rFonts w:ascii="Calibri" w:hAnsi="Calibri"/>
          <w:color w:val="1A1A1A"/>
          <w:sz w:val="19"/>
        </w:rPr>
        <w:t xml:space="preserve"> Zwecke außerhalb des Vertragsverhältnisses</w:t>
      </w:r>
    </w:p>
    <w:p>
      <w:pPr>
        <w:pStyle w:val="Heading1"/>
      </w:pPr>
      <w:r>
        <w:rPr>
          <w:rFonts w:ascii="Calibri" w:hAnsi="Calibri"/>
          <w:color w:val="E8520A"/>
        </w:rPr>
        <w:t>8. Verfügbare Compliance-Dokumentation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0"/>
        </w:rPr>
        <w:t>Folgende Dokumente stellen wir Ihnen auf Anfrage zur Verfügung: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Dokument</w:t>
            </w:r>
          </w:p>
        </w:tc>
        <w:tc>
          <w:tcPr>
            <w:tcW w:type="dxa" w:w="5669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340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Datenschutzerklärung</w:t>
            </w:r>
          </w:p>
        </w:tc>
        <w:tc>
          <w:tcPr>
            <w:tcW w:type="dxa" w:w="56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Vollständige Information nach Art. 13/14 DSGVO</w:t>
            </w:r>
          </w:p>
        </w:tc>
      </w:tr>
      <w:tr>
        <w:tc>
          <w:tcPr>
            <w:tcW w:type="dxa" w:w="340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AVV (Auftragsverarbeitungsvereinbarung)</w:t>
            </w:r>
          </w:p>
        </w:tc>
        <w:tc>
          <w:tcPr>
            <w:tcW w:type="dxa" w:w="56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Vertrag nach Art. 28 DSGVO inkl. § 203-Klauseln</w:t>
            </w:r>
          </w:p>
        </w:tc>
      </w:tr>
      <w:tr>
        <w:tc>
          <w:tcPr>
            <w:tcW w:type="dxa" w:w="340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TOM-Verzeichnis</w:t>
            </w:r>
          </w:p>
        </w:tc>
        <w:tc>
          <w:tcPr>
            <w:tcW w:type="dxa" w:w="56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Technische und organisatorische Maßnahmen nach Art. 32 DSGVO</w:t>
            </w:r>
          </w:p>
        </w:tc>
      </w:tr>
      <w:tr>
        <w:tc>
          <w:tcPr>
            <w:tcW w:type="dxa" w:w="340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Unterauftragnehmer-Liste</w:t>
            </w:r>
          </w:p>
        </w:tc>
        <w:tc>
          <w:tcPr>
            <w:tcW w:type="dxa" w:w="56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Aktuelle Liste aller Unterauftragnehmer mit Verarbeitungszwecken</w:t>
            </w:r>
          </w:p>
        </w:tc>
      </w:tr>
      <w:tr>
        <w:tc>
          <w:tcPr>
            <w:tcW w:type="dxa" w:w="340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Drittlandtransfer-Register</w:t>
            </w:r>
          </w:p>
        </w:tc>
        <w:tc>
          <w:tcPr>
            <w:tcW w:type="dxa" w:w="56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Dokumentation aller Datentransfers außerhalb des EWR</w:t>
            </w:r>
          </w:p>
        </w:tc>
      </w:tr>
      <w:tr>
        <w:tc>
          <w:tcPr>
            <w:tcW w:type="dxa" w:w="340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KI-Nutzungsrichtlinie</w:t>
            </w:r>
          </w:p>
        </w:tc>
        <w:tc>
          <w:tcPr>
            <w:tcW w:type="dxa" w:w="56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Verbindliche Regeln für den Einsatz des KI-Assistenten</w:t>
            </w:r>
          </w:p>
        </w:tc>
      </w:tr>
    </w:tbl>
    <w:p>
      <w:pPr>
        <w:pStyle w:val="Heading1"/>
      </w:pPr>
      <w:r>
        <w:rPr>
          <w:rFonts w:ascii="Calibri" w:hAnsi="Calibri"/>
          <w:color w:val="E8520A"/>
        </w:rPr>
        <w:t>9. Häufige Fragen (FAQ)</w:t>
      </w:r>
    </w:p>
    <w:p>
      <w:pPr>
        <w:spacing w:after="40"/>
      </w:pPr>
      <w:r>
        <w:rPr>
          <w:rFonts w:ascii="Calibri" w:hAnsi="Calibri"/>
          <w:b/>
          <w:i w:val="0"/>
          <w:color w:val="CC4709"/>
          <w:sz w:val="20"/>
        </w:rPr>
        <w:t>Werden meine Mandantendaten zum KI-Training verwendet?</w:t>
      </w:r>
    </w:p>
    <w:p>
      <w:pPr>
        <w:spacing w:after="240"/>
      </w:pPr>
      <w:r>
        <w:rPr>
          <w:rFonts w:ascii="Calibri" w:hAnsi="Calibri"/>
          <w:b w:val="0"/>
          <w:i w:val="0"/>
          <w:color w:val="1A1A1A"/>
          <w:sz w:val="19"/>
        </w:rPr>
        <w:t>Nein. Wir schließen die Verwendung Ihrer Daten zum Training von KI-Modellen vertraglich aus. Dies ist in unserer AVV und der KI-Nutzungsrichtlinie verbindlich festgelegt.</w:t>
      </w:r>
    </w:p>
    <w:p>
      <w:pPr>
        <w:spacing w:after="40"/>
      </w:pPr>
      <w:r>
        <w:rPr>
          <w:rFonts w:ascii="Calibri" w:hAnsi="Calibri"/>
          <w:b/>
          <w:i w:val="0"/>
          <w:color w:val="CC4709"/>
          <w:sz w:val="20"/>
        </w:rPr>
        <w:t>Kann der KI-Assistent eigenständig Mandanten kontaktieren?</w:t>
      </w:r>
    </w:p>
    <w:p>
      <w:pPr>
        <w:spacing w:after="240"/>
      </w:pPr>
      <w:r>
        <w:rPr>
          <w:rFonts w:ascii="Calibri" w:hAnsi="Calibri"/>
          <w:b w:val="0"/>
          <w:i w:val="0"/>
          <w:color w:val="1A1A1A"/>
          <w:sz w:val="19"/>
        </w:rPr>
        <w:t>Nein. Der KI-Assistent arbeitet ausschließlich als Entwurfs- und Strukturierungshilfe. Jede externe Kommunikation erfordert Ihre explizite Freigabe als Berufsträger.</w:t>
      </w:r>
    </w:p>
    <w:p>
      <w:pPr>
        <w:spacing w:after="40"/>
      </w:pPr>
      <w:r>
        <w:rPr>
          <w:rFonts w:ascii="Calibri" w:hAnsi="Calibri"/>
          <w:b/>
          <w:i w:val="0"/>
          <w:color w:val="CC4709"/>
          <w:sz w:val="20"/>
        </w:rPr>
        <w:t>Wo werden meine Daten gespeichert?</w:t>
      </w:r>
    </w:p>
    <w:p>
      <w:pPr>
        <w:spacing w:after="240"/>
      </w:pPr>
      <w:r>
        <w:rPr>
          <w:rFonts w:ascii="Calibri" w:hAnsi="Calibri"/>
          <w:b w:val="0"/>
          <w:i w:val="0"/>
          <w:color w:val="1A1A1A"/>
          <w:sz w:val="19"/>
        </w:rPr>
        <w:t>Alle Datenverarbeitungen sind in unserem Unterauftragnehmer-Verzeichnis dokumentiert. Für Drittlandtransfers sind geeignete Garantien gemäß Art. 44 ff. DSGVO implementiert (z. B. Standardvertragsklauseln).</w:t>
      </w:r>
    </w:p>
    <w:p>
      <w:pPr>
        <w:spacing w:after="40"/>
      </w:pPr>
      <w:r>
        <w:rPr>
          <w:rFonts w:ascii="Calibri" w:hAnsi="Calibri"/>
          <w:b/>
          <w:i w:val="0"/>
          <w:color w:val="CC4709"/>
          <w:sz w:val="20"/>
        </w:rPr>
        <w:t>Wie erfülle ich meine Auskunftspflichten gegenüber Mandanten?</w:t>
      </w:r>
    </w:p>
    <w:p>
      <w:pPr>
        <w:spacing w:after="240"/>
      </w:pPr>
      <w:r>
        <w:rPr>
          <w:rFonts w:ascii="Calibri" w:hAnsi="Calibri"/>
          <w:b w:val="0"/>
          <w:i w:val="0"/>
          <w:color w:val="1A1A1A"/>
          <w:sz w:val="19"/>
        </w:rPr>
        <w:t>Unsere Plattform unterstützt Sie mit Exportfunktionen und definierten Prozessen für alle Betroffenenrechte nach Art. 12–23 DSGVO. Unser Betriebsteam unterstützt bei der technischen Umsetzung.</w:t>
      </w:r>
    </w:p>
    <w:p>
      <w:pPr>
        <w:spacing w:after="40"/>
      </w:pPr>
      <w:r>
        <w:rPr>
          <w:rFonts w:ascii="Calibri" w:hAnsi="Calibri"/>
          <w:b/>
          <w:i w:val="0"/>
          <w:color w:val="CC4709"/>
          <w:sz w:val="20"/>
        </w:rPr>
        <w:t>Was passiert bei einem Sicherheitsvorfall?</w:t>
      </w:r>
    </w:p>
    <w:p>
      <w:pPr>
        <w:spacing w:after="240"/>
      </w:pPr>
      <w:r>
        <w:rPr>
          <w:rFonts w:ascii="Calibri" w:hAnsi="Calibri"/>
          <w:b w:val="0"/>
          <w:i w:val="0"/>
          <w:color w:val="1A1A1A"/>
          <w:sz w:val="19"/>
        </w:rPr>
        <w:t>Unser Incident-Response-Prozess sieht eine Reaktionszeit von ≤ 15 Minuten bei kritischen Vorfällen vor. Sie werden innerhalb von 24 Stunden informiert. Die Meldung an die Aufsichtsbehörde erfolgt fristgerecht innerhalb von 72 Stunden.</w:t>
      </w:r>
    </w:p>
    <w:p>
      <w:pPr>
        <w:spacing w:after="40"/>
      </w:pPr>
      <w:r>
        <w:rPr>
          <w:rFonts w:ascii="Calibri" w:hAnsi="Calibri"/>
          <w:b/>
          <w:i w:val="0"/>
          <w:color w:val="CC4709"/>
          <w:sz w:val="20"/>
        </w:rPr>
        <w:t>Erfüllt die Plattform die Anforderungen des § 62a StBerG?</w:t>
      </w:r>
    </w:p>
    <w:p>
      <w:pPr>
        <w:spacing w:after="240"/>
      </w:pPr>
      <w:r>
        <w:rPr>
          <w:rFonts w:ascii="Calibri" w:hAnsi="Calibri"/>
          <w:b w:val="0"/>
          <w:i w:val="0"/>
          <w:color w:val="1A1A1A"/>
          <w:sz w:val="19"/>
        </w:rPr>
        <w:t>Ja. Unsere AVV enthält spezifische Klauseln zum Schutz beruflicher Geheimnisse gemäß § 203 StGB und § 62a StBerG. Alle Unterauftragnehmer werden auf diese Anforderungen geprüft und verpflichtet.</w:t>
      </w:r>
    </w:p>
    <w:p>
      <w:pPr>
        <w:pStyle w:val="Heading1"/>
      </w:pPr>
      <w:r>
        <w:rPr>
          <w:rFonts w:ascii="Calibri" w:hAnsi="Calibri"/>
          <w:color w:val="E8520A"/>
        </w:rPr>
        <w:t>10. Zusammenfassung</w:t>
      </w:r>
    </w:p>
    <w:p>
      <w:pPr>
        <w:spacing w:after="120"/>
      </w:pPr>
      <w:r>
        <w:rPr>
          <w:rFonts w:ascii="Calibri" w:hAnsi="Calibri"/>
          <w:b/>
          <w:i w:val="0"/>
          <w:color w:val="1A1A1A"/>
          <w:sz w:val="20"/>
        </w:rPr>
        <w:t>Warum unsere Plattform für Kanzleien geeignet ist: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Anforderung</w:t>
            </w:r>
          </w:p>
        </w:tc>
        <w:tc>
          <w:tcPr>
            <w:tcW w:type="dxa" w:w="6236"/>
            <w:shd w:fill="E8520A"/>
            <w:tcBorders>
              <w:top w:val="single" w:sz="6" w:space="0" w:color="E8520A"/>
              <w:left w:val="single" w:sz="6" w:space="0" w:color="E8520A"/>
              <w:bottom w:val="single" w:sz="6" w:space="0" w:color="E8520A"/>
              <w:right w:val="single" w:sz="6" w:space="0" w:color="E8520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Umsetzung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DSGVO-Konformität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Vollständiges Compliance-Framework nach Art. 5, 6, 12–23, 28, 32, 33/34 DSGVO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Berufsgeheimnisschutz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Spezifische Maßnahmen für § 203 StGB und § 62a StBerG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Human-in-the-Loop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Keine autonome Außenkommunikation oder Beratung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Kein Modelltraining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Vertraglicher Ausschluss der Datennutzung zum Training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Datenminimierung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Nur erforderliche Daten werden an KI-Modelle übermittelt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Audit-Fähigkeit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Lückenlose, revisionssichere Protokollierung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Mandantentrennung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Strikte Datenisolierung zwischen Organisationen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Incident Response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Definierte Prozesse mit SLAs (≤ 15 Min. bei SEV-1)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Betroffenenrechte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Vollständige Unterstützung aller DSGVO-Rechte</w:t>
            </w:r>
          </w:p>
        </w:tc>
      </w:tr>
      <w:tr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Transparenz</w:t>
            </w:r>
          </w:p>
        </w:tc>
        <w:tc>
          <w:tcPr>
            <w:tcW w:type="dxa" w:w="62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DF2EC"/>
          </w:tcPr>
          <w:p>
            <w:pPr>
              <w:jc w:val="left"/>
            </w:pPr>
            <w:r/>
            <w:r>
              <w:rPr>
                <w:rFonts w:ascii="Calibri" w:hAnsi="Calibri"/>
                <w:color w:val="1A1A1A"/>
                <w:sz w:val="18"/>
              </w:rPr>
              <w:t>Offene Dokumentation aller Verarbeitungen und Unterauftragnehmer</w:t>
            </w:r>
          </w:p>
        </w:tc>
      </w:tr>
    </w:tbl>
    <w:p>
      <w:pPr>
        <w:spacing w:before="80" w:after="80"/>
        <w:pBdr>
          <w:bottom w:val="single" w:sz="6" w:space="1" w:color="E8520A"/>
        </w:pBdr>
      </w:pPr>
    </w:p>
    <w:p>
      <w:pPr>
        <w:pStyle w:val="Heading2"/>
      </w:pPr>
      <w:r>
        <w:rPr>
          <w:rFonts w:ascii="Calibri" w:hAnsi="Calibri"/>
          <w:color w:val="E8520A"/>
        </w:rPr>
        <w:t>Kontakt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Datenschutz: </w:t>
      </w:r>
      <w:r>
        <w:rPr>
          <w:rFonts w:ascii="Calibri" w:hAnsi="Calibri"/>
          <w:color w:val="1A1A1A"/>
          <w:sz w:val="19"/>
        </w:rPr>
        <w:t>[E-Mail-Adresse einfügen]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Vertrieb: </w:t>
      </w:r>
      <w:r>
        <w:rPr>
          <w:rFonts w:ascii="Calibri" w:hAnsi="Calibri"/>
          <w:color w:val="1A1A1A"/>
          <w:sz w:val="19"/>
        </w:rPr>
        <w:t>[E-Mail-Adresse einfügen]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19"/>
        </w:rPr>
        <w:t xml:space="preserve">Technischer Support: </w:t>
      </w:r>
      <w:r>
        <w:rPr>
          <w:rFonts w:ascii="Calibri" w:hAnsi="Calibri"/>
          <w:color w:val="1A1A1A"/>
          <w:sz w:val="19"/>
        </w:rPr>
        <w:t>[E-Mail-Adresse einfügen]</w:t>
      </w:r>
    </w:p>
    <w:p>
      <w:pPr>
        <w:spacing w:before="80" w:after="80"/>
        <w:pBdr>
          <w:bottom w:val="single" w:sz="6" w:space="1" w:color="E8520A"/>
        </w:pBdr>
      </w:pPr>
    </w:p>
    <w:p>
      <w:pPr>
        <w:spacing w:after="120"/>
        <w:jc w:val="center"/>
      </w:pPr>
      <w:r>
        <w:rPr>
          <w:rFonts w:ascii="Calibri" w:hAnsi="Calibri"/>
          <w:b w:val="0"/>
          <w:i/>
          <w:color w:val="555555"/>
          <w:sz w:val="16"/>
        </w:rPr>
        <w:t>Dieses Dokument dient der Information und ersetzt keine individuelle Rechtsberatung. Stand: März 2026.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E8520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E8520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