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rPr>
          <w:rFonts w:ascii="Calibri" w:hAnsi="Calibri"/>
          <w:b/>
          <w:color w:val="E8520A"/>
          <w:sz w:val="56"/>
        </w:rPr>
        <w:t>ElevenLabs Enterprise</w:t>
        <w:br/>
        <w:t>Rollout Forecast</w:t>
      </w:r>
    </w:p>
    <w:p>
      <w:pPr>
        <w:spacing w:before="80" w:after="80"/>
        <w:pBdr>
          <w:bottom w:val="single" w:sz="6" w:space="1" w:color="E8520A"/>
        </w:pBdr>
      </w:pPr>
    </w:p>
    <w:p>
      <w:pPr>
        <w:spacing w:after="480"/>
      </w:pPr>
      <w:r>
        <w:rPr>
          <w:rFonts w:ascii="Calibri" w:hAnsi="Calibri"/>
          <w:color w:val="555555"/>
          <w:sz w:val="28"/>
        </w:rPr>
        <w:t>sevenlayers — AI Voice Platform for German Professional Services</w:t>
      </w:r>
    </w:p>
    <w:p>
      <w:pPr>
        <w:spacing w:after="120"/>
      </w:pPr>
      <w:r>
        <w:rPr>
          <w:rFonts w:ascii="Calibri" w:hAnsi="Calibri"/>
          <w:b w:val="0"/>
          <w:i w:val="0"/>
          <w:color w:val="555555"/>
          <w:sz w:val="20"/>
        </w:rPr>
        <w:t>This document provides a 12-month rollout forecast for our ElevenLabs voice platform usage, supporting our request for an initial enterprise tier with a documented ramp plan toward $5,000+/month in platform spend.</w:t>
      </w:r>
    </w:p>
    <w:p>
      <w:pPr>
        <w:spacing w:after="80"/>
      </w:pPr>
      <w:r>
        <w:rPr>
          <w:rFonts w:ascii="Calibri" w:hAnsi="Calibri"/>
          <w:b w:val="0"/>
          <w:i w:val="0"/>
          <w:color w:val="555555"/>
          <w:sz w:val="18"/>
        </w:rPr>
        <w:t>Confidential  |  March 2026  |  Prepared for ElevenLabs Enterprise Sales</w:t>
      </w:r>
    </w:p>
    <w:p>
      <w:r>
        <w:br w:type="page"/>
      </w:r>
    </w:p>
    <w:p>
      <w:pPr>
        <w:pStyle w:val="Heading1"/>
      </w:pPr>
      <w:r>
        <w:rPr>
          <w:rFonts w:ascii="Calibri" w:hAnsi="Calibri"/>
          <w:color w:val="E8520A"/>
        </w:rPr>
        <w:t>1. Executive Summary</w:t>
      </w:r>
    </w:p>
    <w:p>
      <w:pPr>
        <w:spacing w:after="120"/>
      </w:pPr>
      <w:r>
        <w:rPr>
          <w:rFonts w:ascii="Calibri" w:hAnsi="Calibri"/>
          <w:b w:val="0"/>
          <w:i w:val="0"/>
          <w:color w:val="1A1A1A"/>
          <w:sz w:val="20"/>
        </w:rPr>
        <w:t>sevenlayers is building the AI voice reception platform for German professional services. We start with law firms — a market where 59% of callers hang up on voicemail and 68% never call back. They call the next lawyer instead.</w:t>
      </w:r>
    </w:p>
    <w:p>
      <w:pPr>
        <w:spacing w:after="120"/>
      </w:pPr>
      <w:r>
        <w:rPr>
          <w:rFonts w:ascii="Calibri" w:hAnsi="Calibri"/>
          <w:b w:val="0"/>
          <w:i w:val="0"/>
          <w:color w:val="1A1A1A"/>
          <w:sz w:val="20"/>
        </w:rPr>
        <w:t>Our platform deploys a single, powerful ElevenLabs voice agent — "Clara" — as the 24/7 front door to each law firm. Clara handles incoming calls in fluent German: she identifies the practice area, assesses urgency, captures structured intake data, and books appointments. Behind her, our backend agent orchestration layer handles CRM entry, calendar sync, attorney notifications, compliance logging, and escalation workflows.</w:t>
      </w:r>
    </w:p>
    <w:p>
      <w:pPr>
        <w:spacing w:before="120" w:after="120"/>
        <w:shd w:fill="FDF2EC"/>
        <w:pBdr>
          <w:left w:val="single" w:sz="24" w:space="4" w:color="E8520A"/>
        </w:pBdr>
      </w:pPr>
      <w:r>
        <w:rPr>
          <w:rFonts w:ascii="Calibri" w:hAnsi="Calibri"/>
          <w:i/>
          <w:color w:val="CC4709"/>
          <w:sz w:val="19"/>
        </w:rPr>
        <w:t>Architecture: One ElevenLabs voice agent (Clara) per deployment. All orchestration, booking, CRM, and compliance logic runs on our Convex backend. This is a single-agent-per-customer model with high per-agent utilization.</w:t>
      </w:r>
    </w:p>
    <w:p>
      <w:pPr>
        <w:spacing w:after="120"/>
      </w:pPr>
      <w:r>
        <w:rPr>
          <w:rFonts w:ascii="Calibri" w:hAnsi="Calibri"/>
          <w:b/>
          <w:i w:val="0"/>
          <w:color w:val="1A1A1A"/>
          <w:sz w:val="20"/>
        </w:rPr>
        <w:t>What we're asking for:</w:t>
      </w:r>
    </w:p>
    <w:p>
      <w:pPr>
        <w:pStyle w:val="ListBullet"/>
        <w:spacing w:after="40"/>
      </w:pPr>
      <w:r>
        <w:rPr>
          <w:rFonts w:ascii="Calibri" w:hAnsi="Calibri"/>
          <w:b/>
          <w:color w:val="1A1A1A"/>
          <w:sz w:val="19"/>
        </w:rPr>
        <w:t>Ramp-up pricing:</w:t>
      </w:r>
      <w:r>
        <w:rPr>
          <w:rFonts w:ascii="Calibri" w:hAnsi="Calibri"/>
          <w:color w:val="1A1A1A"/>
          <w:sz w:val="19"/>
        </w:rPr>
        <w:t xml:space="preserve"> A lower initial enterprise tier tied to a documented ramp plan, acknowledging the classic go-to-market chicken-and-egg: we need enterprise-grade reliability and pricing to close our first customers, but volume only comes after those first customers are live.</w:t>
      </w:r>
    </w:p>
    <w:p>
      <w:pPr>
        <w:pStyle w:val="ListBullet"/>
        <w:spacing w:after="40"/>
      </w:pPr>
      <w:r>
        <w:rPr>
          <w:rFonts w:ascii="Calibri" w:hAnsi="Calibri"/>
          <w:b/>
          <w:color w:val="1A1A1A"/>
          <w:sz w:val="19"/>
        </w:rPr>
        <w:t>$5k/month target:</w:t>
      </w:r>
      <w:r>
        <w:rPr>
          <w:rFonts w:ascii="Calibri" w:hAnsi="Calibri"/>
          <w:color w:val="1A1A1A"/>
          <w:sz w:val="19"/>
        </w:rPr>
        <w:t xml:space="preserve"> We project crossing $5,000/month in ElevenLabs spend by Month 8–10 of our rollout.</w:t>
      </w:r>
    </w:p>
    <w:p>
      <w:pPr>
        <w:pStyle w:val="Heading1"/>
      </w:pPr>
      <w:r>
        <w:rPr>
          <w:rFonts w:ascii="Calibri" w:hAnsi="Calibri"/>
          <w:color w:val="E8520A"/>
        </w:rPr>
        <w:t>2. Product &amp; Architecture</w:t>
      </w:r>
    </w:p>
    <w:p>
      <w:pPr>
        <w:pStyle w:val="Heading2"/>
      </w:pPr>
      <w:r>
        <w:rPr>
          <w:rFonts w:ascii="Calibri" w:hAnsi="Calibri"/>
          <w:color w:val="E8520A"/>
        </w:rPr>
        <w:t>What Clara Does on Every Call</w:t>
      </w:r>
    </w:p>
    <w:tbl>
      <w:tblPr>
        <w:tblW w:type="auto" w:w="0"/>
        <w:jc w:val="center"/>
        <w:tblLayout w:type="autofit"/>
        <w:tblLook w:firstColumn="1" w:firstRow="1" w:lastColumn="0" w:lastRow="0" w:noHBand="0" w:noVBand="1" w:val="04A0"/>
      </w:tblPr>
      <w:tblGrid>
        <w:gridCol w:w="3024"/>
        <w:gridCol w:w="3024"/>
        <w:gridCol w:w="3024"/>
      </w:tblGrid>
      <w:tr>
        <w:tc>
          <w:tcPr>
            <w:tcW w:type="dxa" w:w="1134"/>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Step</w:t>
            </w:r>
          </w:p>
        </w:tc>
        <w:tc>
          <w:tcPr>
            <w:tcW w:type="dxa" w:w="4252"/>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What happens</w:t>
            </w:r>
          </w:p>
        </w:tc>
        <w:tc>
          <w:tcPr>
            <w:tcW w:type="dxa" w:w="2551"/>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Where it runs</w:t>
            </w:r>
          </w:p>
        </w:tc>
      </w:tr>
      <w:tr>
        <w:tc>
          <w:tcPr>
            <w:tcW w:type="dxa" w:w="113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 Answer</w:t>
            </w:r>
          </w:p>
        </w:tc>
        <w:tc>
          <w:tcPr>
            <w:tcW w:type="dxa" w:w="4252"/>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Caller greeted in fluent German, call recording disclosed</w:t>
            </w:r>
          </w:p>
        </w:tc>
        <w:tc>
          <w:tcPr>
            <w:tcW w:type="dxa" w:w="255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ElevenLabs voice agent</w:t>
            </w:r>
          </w:p>
        </w:tc>
      </w:tr>
      <w:tr>
        <w:tc>
          <w:tcPr>
            <w:tcW w:type="dxa" w:w="113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2. Qualify</w:t>
            </w:r>
          </w:p>
        </w:tc>
        <w:tc>
          <w:tcPr>
            <w:tcW w:type="dxa" w:w="4252"/>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Practice area detected (labor, family, tenancy, criminal law)</w:t>
            </w:r>
          </w:p>
        </w:tc>
        <w:tc>
          <w:tcPr>
            <w:tcW w:type="dxa" w:w="255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ElevenLabs voice agent</w:t>
            </w:r>
          </w:p>
        </w:tc>
      </w:tr>
      <w:tr>
        <w:tc>
          <w:tcPr>
            <w:tcW w:type="dxa" w:w="113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3. Urgency</w:t>
            </w:r>
          </w:p>
        </w:tc>
        <w:tc>
          <w:tcPr>
            <w:tcW w:type="dxa" w:w="4252"/>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Time-critical situations identified (deadlines, arrests, DV)</w:t>
            </w:r>
          </w:p>
        </w:tc>
        <w:tc>
          <w:tcPr>
            <w:tcW w:type="dxa" w:w="255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ElevenLabs voice agent</w:t>
            </w:r>
          </w:p>
        </w:tc>
      </w:tr>
      <w:tr>
        <w:tc>
          <w:tcPr>
            <w:tcW w:type="dxa" w:w="113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4. Intake</w:t>
            </w:r>
          </w:p>
        </w:tc>
        <w:tc>
          <w:tcPr>
            <w:tcW w:type="dxa" w:w="4252"/>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Structured data captured: name, contact, facts, documents</w:t>
            </w:r>
          </w:p>
        </w:tc>
        <w:tc>
          <w:tcPr>
            <w:tcW w:type="dxa" w:w="255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ElevenLabs voice agent</w:t>
            </w:r>
          </w:p>
        </w:tc>
      </w:tr>
      <w:tr>
        <w:tc>
          <w:tcPr>
            <w:tcW w:type="dxa" w:w="113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5. Book</w:t>
            </w:r>
          </w:p>
        </w:tc>
        <w:tc>
          <w:tcPr>
            <w:tcW w:type="dxa" w:w="4252"/>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Consultation booked into attorney's calendar</w:t>
            </w:r>
          </w:p>
        </w:tc>
        <w:tc>
          <w:tcPr>
            <w:tcW w:type="dxa" w:w="255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Backend orchestration</w:t>
            </w:r>
          </w:p>
        </w:tc>
      </w:tr>
      <w:tr>
        <w:tc>
          <w:tcPr>
            <w:tcW w:type="dxa" w:w="113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6. Confirm</w:t>
            </w:r>
          </w:p>
        </w:tc>
        <w:tc>
          <w:tcPr>
            <w:tcW w:type="dxa" w:w="4252"/>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SMS confirmation to caller, email brief to attorney</w:t>
            </w:r>
          </w:p>
        </w:tc>
        <w:tc>
          <w:tcPr>
            <w:tcW w:type="dxa" w:w="255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Backend orchestration</w:t>
            </w:r>
          </w:p>
        </w:tc>
      </w:tr>
      <w:tr>
        <w:tc>
          <w:tcPr>
            <w:tcW w:type="dxa" w:w="113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7. Escalate</w:t>
            </w:r>
          </w:p>
        </w:tc>
        <w:tc>
          <w:tcPr>
            <w:tcW w:type="dxa" w:w="4252"/>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Emergency cases: push notification + direct transfer option</w:t>
            </w:r>
          </w:p>
        </w:tc>
        <w:tc>
          <w:tcPr>
            <w:tcW w:type="dxa" w:w="255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Backend orchestration</w:t>
            </w:r>
          </w:p>
        </w:tc>
      </w:tr>
      <w:tr>
        <w:tc>
          <w:tcPr>
            <w:tcW w:type="dxa" w:w="113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8. Archive</w:t>
            </w:r>
          </w:p>
        </w:tc>
        <w:tc>
          <w:tcPr>
            <w:tcW w:type="dxa" w:w="4252"/>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Complete case file documented for compliance</w:t>
            </w:r>
          </w:p>
        </w:tc>
        <w:tc>
          <w:tcPr>
            <w:tcW w:type="dxa" w:w="255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Backend orchestration</w:t>
            </w:r>
          </w:p>
        </w:tc>
      </w:tr>
    </w:tbl>
    <w:p>
      <w:pPr>
        <w:pStyle w:val="Heading2"/>
      </w:pPr>
      <w:r>
        <w:rPr>
          <w:rFonts w:ascii="Calibri" w:hAnsi="Calibri"/>
          <w:color w:val="E8520A"/>
        </w:rPr>
        <w:t>Practice Area Templates</w:t>
      </w:r>
    </w:p>
    <w:p>
      <w:pPr>
        <w:spacing w:after="120"/>
      </w:pPr>
      <w:r>
        <w:rPr>
          <w:rFonts w:ascii="Calibri" w:hAnsi="Calibri"/>
          <w:b w:val="0"/>
          <w:i w:val="0"/>
          <w:color w:val="1A1A1A"/>
          <w:sz w:val="20"/>
        </w:rPr>
        <w:t>Clara adapts her conversation flow per practice area using pre-built intake templates. Each template is tuned for the specific urgency patterns, deadline sensitivities, and emotional dynamics of that legal domain:</w:t>
      </w:r>
    </w:p>
    <w:p>
      <w:pPr>
        <w:pStyle w:val="ListBullet"/>
        <w:spacing w:after="40"/>
      </w:pPr>
      <w:r>
        <w:rPr>
          <w:rFonts w:ascii="Calibri" w:hAnsi="Calibri"/>
          <w:b/>
          <w:color w:val="1A1A1A"/>
          <w:sz w:val="19"/>
        </w:rPr>
        <w:t>Labor law (Arbeitsrecht)</w:t>
      </w:r>
      <w:r>
        <w:rPr>
          <w:rFonts w:ascii="Calibri" w:hAnsi="Calibri"/>
          <w:color w:val="1A1A1A"/>
          <w:sz w:val="19"/>
        </w:rPr>
        <w:t xml:space="preserve"> — 3-week filing deadline detection, severance negotiation intake</w:t>
      </w:r>
    </w:p>
    <w:p>
      <w:pPr>
        <w:pStyle w:val="ListBullet"/>
        <w:spacing w:after="40"/>
      </w:pPr>
      <w:r>
        <w:rPr>
          <w:rFonts w:ascii="Calibri" w:hAnsi="Calibri"/>
          <w:b/>
          <w:color w:val="1A1A1A"/>
          <w:sz w:val="19"/>
        </w:rPr>
        <w:t>Family law (Familienrecht)</w:t>
      </w:r>
      <w:r>
        <w:rPr>
          <w:rFonts w:ascii="Calibri" w:hAnsi="Calibri"/>
          <w:color w:val="1A1A1A"/>
          <w:sz w:val="19"/>
        </w:rPr>
        <w:t xml:space="preserve"> — domestic violence screening, emergency motion prioritization</w:t>
      </w:r>
    </w:p>
    <w:p>
      <w:pPr>
        <w:pStyle w:val="ListBullet"/>
        <w:spacing w:after="40"/>
      </w:pPr>
      <w:r>
        <w:rPr>
          <w:rFonts w:ascii="Calibri" w:hAnsi="Calibri"/>
          <w:b/>
          <w:color w:val="1A1A1A"/>
          <w:sz w:val="19"/>
        </w:rPr>
        <w:t>Tenancy law (Mietrecht)</w:t>
      </w:r>
      <w:r>
        <w:rPr>
          <w:rFonts w:ascii="Calibri" w:hAnsi="Calibri"/>
          <w:color w:val="1A1A1A"/>
          <w:sz w:val="19"/>
        </w:rPr>
        <w:t xml:space="preserve"> — defect documentation, rent reduction deadlines</w:t>
      </w:r>
    </w:p>
    <w:p>
      <w:pPr>
        <w:pStyle w:val="ListBullet"/>
        <w:spacing w:after="40"/>
      </w:pPr>
      <w:r>
        <w:rPr>
          <w:rFonts w:ascii="Calibri" w:hAnsi="Calibri"/>
          <w:b/>
          <w:color w:val="1A1A1A"/>
          <w:sz w:val="19"/>
        </w:rPr>
        <w:t>Criminal law (Strafrecht)</w:t>
      </w:r>
      <w:r>
        <w:rPr>
          <w:rFonts w:ascii="Calibri" w:hAnsi="Calibri"/>
          <w:color w:val="1A1A1A"/>
          <w:sz w:val="19"/>
        </w:rPr>
        <w:t xml:space="preserve"> — 24/7 emergency intake: arrest, search, summons detection</w:t>
      </w:r>
    </w:p>
    <w:p>
      <w:pPr>
        <w:pStyle w:val="Heading2"/>
      </w:pPr>
      <w:r>
        <w:rPr>
          <w:rFonts w:ascii="Calibri" w:hAnsi="Calibri"/>
          <w:color w:val="E8520A"/>
        </w:rPr>
        <w:t>Technical Integration</w:t>
      </w:r>
    </w:p>
    <w:p>
      <w:pPr>
        <w:pStyle w:val="ListBullet"/>
        <w:spacing w:after="40"/>
      </w:pPr>
      <w:r>
        <w:rPr>
          <w:rFonts w:ascii="Calibri" w:hAnsi="Calibri"/>
          <w:b/>
          <w:color w:val="1A1A1A"/>
          <w:sz w:val="19"/>
        </w:rPr>
        <w:t>Voice:</w:t>
      </w:r>
      <w:r>
        <w:rPr>
          <w:rFonts w:ascii="Calibri" w:hAnsi="Calibri"/>
          <w:color w:val="1A1A1A"/>
          <w:sz w:val="19"/>
        </w:rPr>
        <w:t xml:space="preserve"> ElevenLabs Conversational AI (single agent per customer deployment)</w:t>
      </w:r>
    </w:p>
    <w:p>
      <w:pPr>
        <w:pStyle w:val="ListBullet"/>
        <w:spacing w:after="40"/>
      </w:pPr>
      <w:r>
        <w:rPr>
          <w:rFonts w:ascii="Calibri" w:hAnsi="Calibri"/>
          <w:b/>
          <w:color w:val="1A1A1A"/>
          <w:sz w:val="19"/>
        </w:rPr>
        <w:t>Telephony:</w:t>
      </w:r>
      <w:r>
        <w:rPr>
          <w:rFonts w:ascii="Calibri" w:hAnsi="Calibri"/>
          <w:color w:val="1A1A1A"/>
          <w:sz w:val="19"/>
        </w:rPr>
        <w:t xml:space="preserve"> Twilio (German local numbers, inbound routing)</w:t>
      </w:r>
    </w:p>
    <w:p>
      <w:pPr>
        <w:pStyle w:val="ListBullet"/>
        <w:spacing w:after="40"/>
      </w:pPr>
      <w:r>
        <w:rPr>
          <w:rFonts w:ascii="Calibri" w:hAnsi="Calibri"/>
          <w:b/>
          <w:color w:val="1A1A1A"/>
          <w:sz w:val="19"/>
        </w:rPr>
        <w:t>Backend:</w:t>
      </w:r>
      <w:r>
        <w:rPr>
          <w:rFonts w:ascii="Calibri" w:hAnsi="Calibri"/>
          <w:color w:val="1A1A1A"/>
          <w:sz w:val="19"/>
        </w:rPr>
        <w:t xml:space="preserve"> Convex (real-time backend, CRM, booking engine, compliance logging)</w:t>
      </w:r>
    </w:p>
    <w:p>
      <w:pPr>
        <w:pStyle w:val="ListBullet"/>
        <w:spacing w:after="40"/>
      </w:pPr>
      <w:r>
        <w:rPr>
          <w:rFonts w:ascii="Calibri" w:hAnsi="Calibri"/>
          <w:b/>
          <w:color w:val="1A1A1A"/>
          <w:sz w:val="19"/>
        </w:rPr>
        <w:t>Integrations:</w:t>
      </w:r>
      <w:r>
        <w:rPr>
          <w:rFonts w:ascii="Calibri" w:hAnsi="Calibri"/>
          <w:color w:val="1A1A1A"/>
          <w:sz w:val="19"/>
        </w:rPr>
        <w:t xml:space="preserve"> Google Calendar, Outlook 365, RA-MICRO (German legal practice management)</w:t>
      </w:r>
    </w:p>
    <w:p>
      <w:pPr>
        <w:pStyle w:val="ListBullet"/>
        <w:spacing w:after="40"/>
      </w:pPr>
      <w:r>
        <w:rPr>
          <w:rFonts w:ascii="Calibri" w:hAnsi="Calibri"/>
          <w:b/>
          <w:color w:val="1A1A1A"/>
          <w:sz w:val="19"/>
        </w:rPr>
        <w:t>Languages:</w:t>
      </w:r>
      <w:r>
        <w:rPr>
          <w:rFonts w:ascii="Calibri" w:hAnsi="Calibri"/>
          <w:color w:val="1A1A1A"/>
          <w:sz w:val="19"/>
        </w:rPr>
        <w:t xml:space="preserve"> German (native quality required). English planned for Year 2.</w:t>
      </w:r>
    </w:p>
    <w:p>
      <w:r>
        <w:br w:type="page"/>
      </w:r>
    </w:p>
    <w:p>
      <w:pPr>
        <w:pStyle w:val="Heading1"/>
      </w:pPr>
      <w:r>
        <w:rPr>
          <w:rFonts w:ascii="Calibri" w:hAnsi="Calibri"/>
          <w:color w:val="E8520A"/>
        </w:rPr>
        <w:t>3. Target Market &amp; Go-to-Market</w:t>
      </w:r>
    </w:p>
    <w:p>
      <w:pPr>
        <w:pStyle w:val="Heading2"/>
      </w:pPr>
      <w:r>
        <w:rPr>
          <w:rFonts w:ascii="Calibri" w:hAnsi="Calibri"/>
          <w:color w:val="E8520A"/>
        </w:rPr>
        <w:t>Ideal Customer Profile (Phase 0–1: Law Firms)</w:t>
      </w:r>
    </w:p>
    <w:tbl>
      <w:tblPr>
        <w:tblW w:type="auto" w:w="0"/>
        <w:jc w:val="center"/>
        <w:tblLayout w:type="autofit"/>
        <w:tblLook w:firstColumn="1" w:firstRow="1" w:lastColumn="0" w:lastRow="0" w:noHBand="0" w:noVBand="1" w:val="04A0"/>
      </w:tblPr>
      <w:tblGrid>
        <w:gridCol w:w="4536"/>
        <w:gridCol w:w="4536"/>
      </w:tblGrid>
      <w:tr>
        <w:tc>
          <w:tcPr>
            <w:tcW w:type="dxa" w:w="2268"/>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Attribute</w:t>
            </w:r>
          </w:p>
        </w:tc>
        <w:tc>
          <w:tcPr>
            <w:tcW w:type="dxa" w:w="6803"/>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Detail</w:t>
            </w:r>
          </w:p>
        </w:tc>
      </w:tr>
      <w:tr>
        <w:tc>
          <w:tcPr>
            <w:tcW w:type="dxa" w:w="2268"/>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Firm size</w:t>
            </w:r>
          </w:p>
        </w:tc>
        <w:tc>
          <w:tcPr>
            <w:tcW w:type="dxa" w:w="6803"/>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5–20 lawyers</w:t>
            </w:r>
          </w:p>
        </w:tc>
      </w:tr>
      <w:tr>
        <w:tc>
          <w:tcPr>
            <w:tcW w:type="dxa" w:w="2268"/>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Revenue</w:t>
            </w:r>
          </w:p>
        </w:tc>
        <w:tc>
          <w:tcPr>
            <w:tcW w:type="dxa" w:w="6803"/>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€1M–€5M</w:t>
            </w:r>
          </w:p>
        </w:tc>
      </w:tr>
      <w:tr>
        <w:tc>
          <w:tcPr>
            <w:tcW w:type="dxa" w:w="2268"/>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Geography</w:t>
            </w:r>
          </w:p>
        </w:tc>
        <w:tc>
          <w:tcPr>
            <w:tcW w:type="dxa" w:w="6803"/>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Germany (NRW, Bavaria, Berlin, Hamburg)</w:t>
            </w:r>
          </w:p>
        </w:tc>
      </w:tr>
      <w:tr>
        <w:tc>
          <w:tcPr>
            <w:tcW w:type="dxa" w:w="2268"/>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Software</w:t>
            </w:r>
          </w:p>
        </w:tc>
        <w:tc>
          <w:tcPr>
            <w:tcW w:type="dxa" w:w="6803"/>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RA-MICRO users (70K workplaces — market leader in German legal practice management)</w:t>
            </w:r>
          </w:p>
        </w:tc>
      </w:tr>
      <w:tr>
        <w:tc>
          <w:tcPr>
            <w:tcW w:type="dxa" w:w="2268"/>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Pain point</w:t>
            </w:r>
          </w:p>
        </w:tc>
        <w:tc>
          <w:tcPr>
            <w:tcW w:type="dxa" w:w="6803"/>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Missed calls = missed revenue. 59% hang up on voicemail.</w:t>
            </w:r>
          </w:p>
        </w:tc>
      </w:tr>
      <w:tr>
        <w:tc>
          <w:tcPr>
            <w:tcW w:type="dxa" w:w="2268"/>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Decision maker</w:t>
            </w:r>
          </w:p>
        </w:tc>
        <w:tc>
          <w:tcPr>
            <w:tcW w:type="dxa" w:w="6803"/>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Managing partner (single decision-maker, 4–6 week sales cycle)</w:t>
            </w:r>
          </w:p>
        </w:tc>
      </w:tr>
      <w:tr>
        <w:tc>
          <w:tcPr>
            <w:tcW w:type="dxa" w:w="2268"/>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Call volume</w:t>
            </w:r>
          </w:p>
        </w:tc>
        <w:tc>
          <w:tcPr>
            <w:tcW w:type="dxa" w:w="6803"/>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20–60 inbound calls/day, avg. 3 min duration</w:t>
            </w:r>
          </w:p>
        </w:tc>
      </w:tr>
    </w:tbl>
    <w:p>
      <w:pPr>
        <w:pStyle w:val="Heading2"/>
      </w:pPr>
      <w:r>
        <w:rPr>
          <w:rFonts w:ascii="Calibri" w:hAnsi="Calibri"/>
          <w:color w:val="E8520A"/>
        </w:rPr>
        <w:t>Sales Motion</w:t>
      </w:r>
    </w:p>
    <w:p>
      <w:pPr>
        <w:pStyle w:val="ListBullet"/>
        <w:spacing w:after="40"/>
      </w:pPr>
      <w:r>
        <w:rPr>
          <w:rFonts w:ascii="Calibri" w:hAnsi="Calibri"/>
          <w:b/>
          <w:color w:val="1A1A1A"/>
          <w:sz w:val="19"/>
        </w:rPr>
        <w:t>1. Demo call (30 min) —</w:t>
      </w:r>
      <w:r>
        <w:rPr>
          <w:rFonts w:ascii="Calibri" w:hAnsi="Calibri"/>
          <w:color w:val="1A1A1A"/>
          <w:sz w:val="19"/>
        </w:rPr>
        <w:t xml:space="preserve"> Prospect calls a live demo number and experiences Clara firsthand</w:t>
      </w:r>
    </w:p>
    <w:p>
      <w:pPr>
        <w:pStyle w:val="ListBullet"/>
        <w:spacing w:after="40"/>
      </w:pPr>
      <w:r>
        <w:rPr>
          <w:rFonts w:ascii="Calibri" w:hAnsi="Calibri"/>
          <w:b/>
          <w:color w:val="1A1A1A"/>
          <w:sz w:val="19"/>
        </w:rPr>
        <w:t>2. Call audit (2 weeks, €0) —</w:t>
      </w:r>
      <w:r>
        <w:rPr>
          <w:rFonts w:ascii="Calibri" w:hAnsi="Calibri"/>
          <w:color w:val="1A1A1A"/>
          <w:sz w:val="19"/>
        </w:rPr>
        <w:t xml:space="preserve"> Free overflow call capture to prove ROI with real data</w:t>
      </w:r>
    </w:p>
    <w:p>
      <w:pPr>
        <w:pStyle w:val="ListBullet"/>
        <w:spacing w:after="40"/>
      </w:pPr>
      <w:r>
        <w:rPr>
          <w:rFonts w:ascii="Calibri" w:hAnsi="Calibri"/>
          <w:b/>
          <w:color w:val="1A1A1A"/>
          <w:sz w:val="19"/>
        </w:rPr>
        <w:t>3. Pilot (2 weeks, €299/mo) —</w:t>
      </w:r>
      <w:r>
        <w:rPr>
          <w:rFonts w:ascii="Calibri" w:hAnsi="Calibri"/>
          <w:color w:val="1A1A1A"/>
          <w:sz w:val="19"/>
        </w:rPr>
        <w:t xml:space="preserve"> Full booking enabled, prove appointment conversion</w:t>
      </w:r>
    </w:p>
    <w:p>
      <w:pPr>
        <w:pStyle w:val="ListBullet"/>
        <w:spacing w:after="40"/>
      </w:pPr>
      <w:r>
        <w:rPr>
          <w:rFonts w:ascii="Calibri" w:hAnsi="Calibri"/>
          <w:b/>
          <w:color w:val="1A1A1A"/>
          <w:sz w:val="19"/>
        </w:rPr>
        <w:t>4. Paid conversion (€499–1,999/mo) —</w:t>
      </w:r>
      <w:r>
        <w:rPr>
          <w:rFonts w:ascii="Calibri" w:hAnsi="Calibri"/>
          <w:color w:val="1A1A1A"/>
          <w:sz w:val="19"/>
        </w:rPr>
        <w:t xml:space="preserve"> Full service with dashboard, templates, compliance</w:t>
      </w:r>
    </w:p>
    <w:p>
      <w:pPr>
        <w:pStyle w:val="Heading2"/>
      </w:pPr>
      <w:r>
        <w:rPr>
          <w:rFonts w:ascii="Calibri" w:hAnsi="Calibri"/>
          <w:color w:val="E8520A"/>
        </w:rPr>
        <w:t>Launch Events</w:t>
      </w:r>
    </w:p>
    <w:p>
      <w:pPr>
        <w:pStyle w:val="ListBullet"/>
        <w:spacing w:after="40"/>
      </w:pPr>
      <w:r>
        <w:rPr>
          <w:rFonts w:ascii="Calibri" w:hAnsi="Calibri"/>
          <w:b/>
          <w:color w:val="1A1A1A"/>
          <w:sz w:val="19"/>
        </w:rPr>
        <w:t>legalXchange Munich (Apr 28–30, 2026)</w:t>
      </w:r>
      <w:r>
        <w:rPr>
          <w:rFonts w:ascii="Calibri" w:hAnsi="Calibri"/>
          <w:color w:val="1A1A1A"/>
          <w:sz w:val="19"/>
        </w:rPr>
        <w:t xml:space="preserve"> — PRIMARY LAUNCH EVENT</w:t>
      </w:r>
    </w:p>
    <w:p>
      <w:pPr>
        <w:pStyle w:val="ListBullet"/>
        <w:spacing w:after="40"/>
      </w:pPr>
      <w:r>
        <w:rPr>
          <w:rFonts w:ascii="Calibri" w:hAnsi="Calibri"/>
          <w:b/>
          <w:color w:val="1A1A1A"/>
          <w:sz w:val="19"/>
        </w:rPr>
        <w:t>Deutscher Anwaltstag (Jun 8–12, 2026)</w:t>
      </w:r>
      <w:r>
        <w:rPr>
          <w:rFonts w:ascii="Calibri" w:hAnsi="Calibri"/>
          <w:color w:val="1A1A1A"/>
          <w:sz w:val="19"/>
        </w:rPr>
        <w:t xml:space="preserve"> — German Bar Association annual conference</w:t>
      </w:r>
    </w:p>
    <w:p>
      <w:pPr>
        <w:pStyle w:val="ListBullet"/>
        <w:spacing w:after="40"/>
      </w:pPr>
      <w:r>
        <w:rPr>
          <w:rFonts w:ascii="Calibri" w:hAnsi="Calibri"/>
          <w:b/>
          <w:color w:val="1A1A1A"/>
          <w:sz w:val="19"/>
        </w:rPr>
        <w:t>Legal Tech Day Berlin (Sep 17, 2026)</w:t>
      </w:r>
      <w:r>
        <w:rPr>
          <w:rFonts w:ascii="Calibri" w:hAnsi="Calibri"/>
          <w:color w:val="1A1A1A"/>
          <w:sz w:val="19"/>
        </w:rPr>
      </w:r>
    </w:p>
    <w:p>
      <w:pPr>
        <w:pStyle w:val="Heading2"/>
      </w:pPr>
      <w:r>
        <w:rPr>
          <w:rFonts w:ascii="Calibri" w:hAnsi="Calibri"/>
          <w:color w:val="E8520A"/>
        </w:rPr>
        <w:t>Expansion Verticals (Year 2+)</w:t>
      </w:r>
    </w:p>
    <w:tbl>
      <w:tblPr>
        <w:tblW w:type="auto" w:w="0"/>
        <w:jc w:val="center"/>
        <w:tblLayout w:type="autofit"/>
        <w:tblLook w:firstColumn="1" w:firstRow="1" w:lastColumn="0" w:lastRow="0" w:noHBand="0" w:noVBand="1" w:val="04A0"/>
      </w:tblPr>
      <w:tblGrid>
        <w:gridCol w:w="3024"/>
        <w:gridCol w:w="3024"/>
        <w:gridCol w:w="3024"/>
      </w:tblGrid>
      <w:tr>
        <w:tc>
          <w:tcPr>
            <w:tcW w:type="dxa" w:w="2835"/>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Vertical</w:t>
            </w:r>
          </w:p>
        </w:tc>
        <w:tc>
          <w:tcPr>
            <w:tcW w:type="dxa" w:w="2551"/>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TAM (Germany)</w:t>
            </w:r>
          </w:p>
        </w:tc>
        <w:tc>
          <w:tcPr>
            <w:tcW w:type="dxa" w:w="2551"/>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Timeline</w:t>
            </w:r>
          </w:p>
        </w:tc>
      </w:tr>
      <w:tr>
        <w:tc>
          <w:tcPr>
            <w:tcW w:type="dxa" w:w="2835"/>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Law firms (Kanzleien)</w:t>
            </w:r>
          </w:p>
        </w:tc>
        <w:tc>
          <w:tcPr>
            <w:tcW w:type="dxa" w:w="255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~5,000 firms in ICP</w:t>
            </w:r>
          </w:p>
        </w:tc>
        <w:tc>
          <w:tcPr>
            <w:tcW w:type="dxa" w:w="255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Now — Year 1</w:t>
            </w:r>
          </w:p>
        </w:tc>
      </w:tr>
      <w:tr>
        <w:tc>
          <w:tcPr>
            <w:tcW w:type="dxa" w:w="2835"/>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Tax advisors (Steuerberater)</w:t>
            </w:r>
          </w:p>
        </w:tc>
        <w:tc>
          <w:tcPr>
            <w:tcW w:type="dxa" w:w="255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50,000+ firms</w:t>
            </w:r>
          </w:p>
        </w:tc>
        <w:tc>
          <w:tcPr>
            <w:tcW w:type="dxa" w:w="255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Month 6–12</w:t>
            </w:r>
          </w:p>
        </w:tc>
      </w:tr>
      <w:tr>
        <w:tc>
          <w:tcPr>
            <w:tcW w:type="dxa" w:w="2835"/>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Veterinary practices (Tierarztpraxen)</w:t>
            </w:r>
          </w:p>
        </w:tc>
        <w:tc>
          <w:tcPr>
            <w:tcW w:type="dxa" w:w="255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10,000+ practices</w:t>
            </w:r>
          </w:p>
        </w:tc>
        <w:tc>
          <w:tcPr>
            <w:tcW w:type="dxa" w:w="255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Month 12–18</w:t>
            </w:r>
          </w:p>
        </w:tc>
      </w:tr>
      <w:tr>
        <w:tc>
          <w:tcPr>
            <w:tcW w:type="dxa" w:w="2835"/>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Staffing agencies (Zeitarbeitsfirmen)</w:t>
            </w:r>
          </w:p>
        </w:tc>
        <w:tc>
          <w:tcPr>
            <w:tcW w:type="dxa" w:w="255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46,000 firms</w:t>
            </w:r>
          </w:p>
        </w:tc>
        <w:tc>
          <w:tcPr>
            <w:tcW w:type="dxa" w:w="255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Year 2</w:t>
            </w:r>
          </w:p>
        </w:tc>
      </w:tr>
    </w:tbl>
    <w:p>
      <w:r>
        <w:br w:type="page"/>
      </w:r>
    </w:p>
    <w:p>
      <w:pPr>
        <w:pStyle w:val="Heading1"/>
      </w:pPr>
      <w:r>
        <w:rPr>
          <w:rFonts w:ascii="Calibri" w:hAnsi="Calibri"/>
          <w:color w:val="E8520A"/>
        </w:rPr>
        <w:t>4. Pricing Tiers &amp; Unit Economics</w:t>
      </w:r>
    </w:p>
    <w:p>
      <w:pPr>
        <w:pStyle w:val="Heading2"/>
      </w:pPr>
      <w:r>
        <w:rPr>
          <w:rFonts w:ascii="Calibri" w:hAnsi="Calibri"/>
          <w:color w:val="E8520A"/>
        </w:rPr>
        <w:t>Customer Pricing</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417"/>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Tier</w:t>
            </w:r>
          </w:p>
        </w:tc>
        <w:tc>
          <w:tcPr>
            <w:tcW w:type="dxa" w:w="1134"/>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Monthly</w:t>
            </w:r>
          </w:p>
        </w:tc>
        <w:tc>
          <w:tcPr>
            <w:tcW w:type="dxa" w:w="1134"/>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Setup</w:t>
            </w:r>
          </w:p>
        </w:tc>
        <w:tc>
          <w:tcPr>
            <w:tcW w:type="dxa" w:w="1701"/>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Firm size</w:t>
            </w:r>
          </w:p>
        </w:tc>
        <w:tc>
          <w:tcPr>
            <w:tcW w:type="dxa" w:w="1134"/>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Numbers</w:t>
            </w:r>
          </w:p>
        </w:tc>
        <w:tc>
          <w:tcPr>
            <w:tcW w:type="dxa" w:w="1984"/>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Est. minutes/mo</w:t>
            </w:r>
          </w:p>
        </w:tc>
      </w:tr>
      <w:tr>
        <w:tc>
          <w:tcPr>
            <w:tcW w:type="dxa" w:w="141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Basis</w:t>
            </w:r>
          </w:p>
        </w:tc>
        <w:tc>
          <w:tcPr>
            <w:tcW w:type="dxa" w:w="113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€499</w:t>
            </w:r>
          </w:p>
        </w:tc>
        <w:tc>
          <w:tcPr>
            <w:tcW w:type="dxa" w:w="113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€1,500</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2–5 lawyers</w:t>
            </w:r>
          </w:p>
        </w:tc>
        <w:tc>
          <w:tcPr>
            <w:tcW w:type="dxa" w:w="113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w:t>
            </w:r>
          </w:p>
        </w:tc>
        <w:tc>
          <w:tcPr>
            <w:tcW w:type="dxa" w:w="198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~1,500</w:t>
            </w:r>
          </w:p>
        </w:tc>
      </w:tr>
      <w:tr>
        <w:tc>
          <w:tcPr>
            <w:tcW w:type="dxa" w:w="141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Professional</w:t>
            </w:r>
          </w:p>
        </w:tc>
        <w:tc>
          <w:tcPr>
            <w:tcW w:type="dxa" w:w="113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€999</w:t>
            </w:r>
          </w:p>
        </w:tc>
        <w:tc>
          <w:tcPr>
            <w:tcW w:type="dxa" w:w="113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€2,000</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5–15 lawyers</w:t>
            </w:r>
          </w:p>
        </w:tc>
        <w:tc>
          <w:tcPr>
            <w:tcW w:type="dxa" w:w="113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2</w:t>
            </w:r>
          </w:p>
        </w:tc>
        <w:tc>
          <w:tcPr>
            <w:tcW w:type="dxa" w:w="198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~3,500</w:t>
            </w:r>
          </w:p>
        </w:tc>
      </w:tr>
      <w:tr>
        <w:tc>
          <w:tcPr>
            <w:tcW w:type="dxa" w:w="141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Premium</w:t>
            </w:r>
          </w:p>
        </w:tc>
        <w:tc>
          <w:tcPr>
            <w:tcW w:type="dxa" w:w="113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€1,999</w:t>
            </w:r>
          </w:p>
        </w:tc>
        <w:tc>
          <w:tcPr>
            <w:tcW w:type="dxa" w:w="113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€2,500</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15+ lawyers</w:t>
            </w:r>
          </w:p>
        </w:tc>
        <w:tc>
          <w:tcPr>
            <w:tcW w:type="dxa" w:w="113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3+</w:t>
            </w:r>
          </w:p>
        </w:tc>
        <w:tc>
          <w:tcPr>
            <w:tcW w:type="dxa" w:w="198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~6,000</w:t>
            </w:r>
          </w:p>
        </w:tc>
      </w:tr>
    </w:tbl>
    <w:p>
      <w:pPr>
        <w:pStyle w:val="Heading2"/>
      </w:pPr>
      <w:r>
        <w:rPr>
          <w:rFonts w:ascii="Calibri" w:hAnsi="Calibri"/>
          <w:color w:val="E8520A"/>
        </w:rPr>
        <w:t>COGS Breakdown (per customer, Professional tier)</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835"/>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Cost item</w:t>
            </w:r>
          </w:p>
        </w:tc>
        <w:tc>
          <w:tcPr>
            <w:tcW w:type="dxa" w:w="1701"/>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Per minute</w:t>
            </w:r>
          </w:p>
        </w:tc>
        <w:tc>
          <w:tcPr>
            <w:tcW w:type="dxa" w:w="2268"/>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Monthly (3,500 min)</w:t>
            </w:r>
          </w:p>
        </w:tc>
        <w:tc>
          <w:tcPr>
            <w:tcW w:type="dxa" w:w="2268"/>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 of revenue</w:t>
            </w:r>
          </w:p>
        </w:tc>
      </w:tr>
      <w:tr>
        <w:tc>
          <w:tcPr>
            <w:tcW w:type="dxa" w:w="2835"/>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ElevenLabs voice</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$0.08</w:t>
            </w:r>
          </w:p>
        </w:tc>
        <w:tc>
          <w:tcPr>
            <w:tcW w:type="dxa" w:w="2268"/>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~$290</w:t>
            </w:r>
          </w:p>
        </w:tc>
        <w:tc>
          <w:tcPr>
            <w:tcW w:type="dxa" w:w="2268"/>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~29%</w:t>
            </w:r>
          </w:p>
        </w:tc>
      </w:tr>
      <w:tr>
        <w:tc>
          <w:tcPr>
            <w:tcW w:type="dxa" w:w="2835"/>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LLM pass-through (expected)</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~$0.03</w:t>
            </w:r>
          </w:p>
        </w:tc>
        <w:tc>
          <w:tcPr>
            <w:tcW w:type="dxa" w:w="2268"/>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~$105</w:t>
            </w:r>
          </w:p>
        </w:tc>
        <w:tc>
          <w:tcPr>
            <w:tcW w:type="dxa" w:w="2268"/>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~11%</w:t>
            </w:r>
          </w:p>
        </w:tc>
      </w:tr>
      <w:tr>
        <w:tc>
          <w:tcPr>
            <w:tcW w:type="dxa" w:w="2835"/>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Twilio telephony</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$0.01</w:t>
            </w:r>
          </w:p>
        </w:tc>
        <w:tc>
          <w:tcPr>
            <w:tcW w:type="dxa" w:w="2268"/>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~$35</w:t>
            </w:r>
          </w:p>
        </w:tc>
        <w:tc>
          <w:tcPr>
            <w:tcW w:type="dxa" w:w="2268"/>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~4%</w:t>
            </w:r>
          </w:p>
        </w:tc>
      </w:tr>
      <w:tr>
        <w:tc>
          <w:tcPr>
            <w:tcW w:type="dxa" w:w="2835"/>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Total COGS</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$0.12</w:t>
            </w:r>
          </w:p>
        </w:tc>
        <w:tc>
          <w:tcPr>
            <w:tcW w:type="dxa" w:w="2268"/>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~$430</w:t>
            </w:r>
          </w:p>
        </w:tc>
        <w:tc>
          <w:tcPr>
            <w:tcW w:type="dxa" w:w="2268"/>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~43%</w:t>
            </w:r>
          </w:p>
        </w:tc>
      </w:tr>
      <w:tr>
        <w:tc>
          <w:tcPr>
            <w:tcW w:type="dxa" w:w="2835"/>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Gross margin</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r>
          </w:p>
        </w:tc>
        <w:tc>
          <w:tcPr>
            <w:tcW w:type="dxa" w:w="2268"/>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~$670</w:t>
            </w:r>
          </w:p>
        </w:tc>
        <w:tc>
          <w:tcPr>
            <w:tcW w:type="dxa" w:w="2268"/>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~57%</w:t>
            </w:r>
          </w:p>
        </w:tc>
      </w:tr>
    </w:tbl>
    <w:p>
      <w:pPr>
        <w:spacing w:before="120" w:after="120"/>
        <w:shd w:fill="FDF2EC"/>
        <w:pBdr>
          <w:left w:val="single" w:sz="24" w:space="4" w:color="E8520A"/>
        </w:pBdr>
      </w:pPr>
      <w:r>
        <w:rPr>
          <w:rFonts w:ascii="Calibri" w:hAnsi="Calibri"/>
          <w:i/>
          <w:color w:val="CC4709"/>
          <w:sz w:val="19"/>
        </w:rPr>
        <w:t>ElevenLabs is our largest variable cost at ~29% of customer revenue today, rising to ~40% with LLM pass-through. Enterprise pricing directly impacts our ability to price competitively and acquire customers faster — which in turn drives ElevenLabs volume faster.</w:t>
      </w:r>
    </w:p>
    <w:p>
      <w:r>
        <w:br w:type="page"/>
      </w:r>
    </w:p>
    <w:p>
      <w:pPr>
        <w:pStyle w:val="Heading1"/>
      </w:pPr>
      <w:r>
        <w:rPr>
          <w:rFonts w:ascii="Calibri" w:hAnsi="Calibri"/>
          <w:color w:val="E8520A"/>
        </w:rPr>
        <w:t>5. 12-Month Rollout Forecast</w:t>
      </w:r>
    </w:p>
    <w:p>
      <w:pPr>
        <w:spacing w:after="120"/>
      </w:pPr>
      <w:r>
        <w:rPr>
          <w:rFonts w:ascii="Calibri" w:hAnsi="Calibri"/>
          <w:b w:val="0"/>
          <w:i w:val="0"/>
          <w:color w:val="1A1A1A"/>
          <w:sz w:val="20"/>
        </w:rPr>
        <w:t>The table below shows our month-by-month customer acquisition plan and the resulting ElevenLabs platform usage. The $5,000/month milestone is highlighted.</w:t>
      </w:r>
    </w:p>
    <w:tbl>
      <w:tblPr>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850"/>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Month</w:t>
            </w:r>
          </w:p>
        </w:tc>
        <w:tc>
          <w:tcPr>
            <w:tcW w:type="dxa" w:w="1247"/>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Date</w:t>
            </w:r>
          </w:p>
        </w:tc>
        <w:tc>
          <w:tcPr>
            <w:tcW w:type="dxa" w:w="680"/>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New</w:t>
            </w:r>
          </w:p>
        </w:tc>
        <w:tc>
          <w:tcPr>
            <w:tcW w:type="dxa" w:w="680"/>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Total</w:t>
            </w:r>
          </w:p>
        </w:tc>
        <w:tc>
          <w:tcPr>
            <w:tcW w:type="dxa" w:w="1984"/>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Mix (B / P / Pr)</w:t>
            </w:r>
          </w:p>
        </w:tc>
        <w:tc>
          <w:tcPr>
            <w:tcW w:type="dxa" w:w="1701"/>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Total min/mo</w:t>
            </w:r>
          </w:p>
        </w:tc>
        <w:tc>
          <w:tcPr>
            <w:tcW w:type="dxa" w:w="1701"/>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EL spend/mo</w:t>
            </w:r>
          </w:p>
        </w:tc>
      </w:tr>
      <w:tr>
        <w:tc>
          <w:tcPr>
            <w:tcW w:type="dxa" w:w="85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w:t>
            </w:r>
          </w:p>
        </w:tc>
        <w:tc>
          <w:tcPr>
            <w:tcW w:type="dxa" w:w="124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Apr 2026</w:t>
            </w:r>
          </w:p>
        </w:tc>
        <w:tc>
          <w:tcPr>
            <w:tcW w:type="dxa" w:w="68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w:t>
            </w:r>
          </w:p>
        </w:tc>
        <w:tc>
          <w:tcPr>
            <w:tcW w:type="dxa" w:w="68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w:t>
            </w:r>
          </w:p>
        </w:tc>
        <w:tc>
          <w:tcPr>
            <w:tcW w:type="dxa" w:w="198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 / 0 / 0</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3,000</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$240</w:t>
            </w:r>
          </w:p>
        </w:tc>
      </w:tr>
      <w:tr>
        <w:tc>
          <w:tcPr>
            <w:tcW w:type="dxa" w:w="85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2</w:t>
            </w:r>
          </w:p>
        </w:tc>
        <w:tc>
          <w:tcPr>
            <w:tcW w:type="dxa" w:w="124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May 2026</w:t>
            </w:r>
          </w:p>
        </w:tc>
        <w:tc>
          <w:tcPr>
            <w:tcW w:type="dxa" w:w="68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2</w:t>
            </w:r>
          </w:p>
        </w:tc>
        <w:tc>
          <w:tcPr>
            <w:tcW w:type="dxa" w:w="68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4</w:t>
            </w:r>
          </w:p>
        </w:tc>
        <w:tc>
          <w:tcPr>
            <w:tcW w:type="dxa" w:w="198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3 / 1 / 0</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8,000</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$640</w:t>
            </w:r>
          </w:p>
        </w:tc>
      </w:tr>
      <w:tr>
        <w:tc>
          <w:tcPr>
            <w:tcW w:type="dxa" w:w="85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3</w:t>
            </w:r>
          </w:p>
        </w:tc>
        <w:tc>
          <w:tcPr>
            <w:tcW w:type="dxa" w:w="124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Jun 2026</w:t>
            </w:r>
          </w:p>
        </w:tc>
        <w:tc>
          <w:tcPr>
            <w:tcW w:type="dxa" w:w="68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3</w:t>
            </w:r>
          </w:p>
        </w:tc>
        <w:tc>
          <w:tcPr>
            <w:tcW w:type="dxa" w:w="68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7</w:t>
            </w:r>
          </w:p>
        </w:tc>
        <w:tc>
          <w:tcPr>
            <w:tcW w:type="dxa" w:w="198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4 / 2 / 1</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17,500</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$1,400</w:t>
            </w:r>
          </w:p>
        </w:tc>
      </w:tr>
      <w:tr>
        <w:tc>
          <w:tcPr>
            <w:tcW w:type="dxa" w:w="85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4</w:t>
            </w:r>
          </w:p>
        </w:tc>
        <w:tc>
          <w:tcPr>
            <w:tcW w:type="dxa" w:w="124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Jul 2026</w:t>
            </w:r>
          </w:p>
        </w:tc>
        <w:tc>
          <w:tcPr>
            <w:tcW w:type="dxa" w:w="68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2</w:t>
            </w:r>
          </w:p>
        </w:tc>
        <w:tc>
          <w:tcPr>
            <w:tcW w:type="dxa" w:w="68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9</w:t>
            </w:r>
          </w:p>
        </w:tc>
        <w:tc>
          <w:tcPr>
            <w:tcW w:type="dxa" w:w="198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5 / 3 / 1</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22,500</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$1,800</w:t>
            </w:r>
          </w:p>
        </w:tc>
      </w:tr>
      <w:tr>
        <w:tc>
          <w:tcPr>
            <w:tcW w:type="dxa" w:w="85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5</w:t>
            </w:r>
          </w:p>
        </w:tc>
        <w:tc>
          <w:tcPr>
            <w:tcW w:type="dxa" w:w="124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Aug 2026</w:t>
            </w:r>
          </w:p>
        </w:tc>
        <w:tc>
          <w:tcPr>
            <w:tcW w:type="dxa" w:w="68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3</w:t>
            </w:r>
          </w:p>
        </w:tc>
        <w:tc>
          <w:tcPr>
            <w:tcW w:type="dxa" w:w="68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12</w:t>
            </w:r>
          </w:p>
        </w:tc>
        <w:tc>
          <w:tcPr>
            <w:tcW w:type="dxa" w:w="198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6 / 4 / 2</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32,000</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$2,560</w:t>
            </w:r>
          </w:p>
        </w:tc>
      </w:tr>
      <w:tr>
        <w:tc>
          <w:tcPr>
            <w:tcW w:type="dxa" w:w="85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6</w:t>
            </w:r>
          </w:p>
        </w:tc>
        <w:tc>
          <w:tcPr>
            <w:tcW w:type="dxa" w:w="124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Sep 2026</w:t>
            </w:r>
          </w:p>
        </w:tc>
        <w:tc>
          <w:tcPr>
            <w:tcW w:type="dxa" w:w="68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3</w:t>
            </w:r>
          </w:p>
        </w:tc>
        <w:tc>
          <w:tcPr>
            <w:tcW w:type="dxa" w:w="68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15</w:t>
            </w:r>
          </w:p>
        </w:tc>
        <w:tc>
          <w:tcPr>
            <w:tcW w:type="dxa" w:w="198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7 / 5 / 3</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42,500</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$3,400</w:t>
            </w:r>
          </w:p>
        </w:tc>
      </w:tr>
      <w:tr>
        <w:tc>
          <w:tcPr>
            <w:tcW w:type="dxa" w:w="85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7</w:t>
            </w:r>
          </w:p>
        </w:tc>
        <w:tc>
          <w:tcPr>
            <w:tcW w:type="dxa" w:w="124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Oct 2026</w:t>
            </w:r>
          </w:p>
        </w:tc>
        <w:tc>
          <w:tcPr>
            <w:tcW w:type="dxa" w:w="68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3</w:t>
            </w:r>
          </w:p>
        </w:tc>
        <w:tc>
          <w:tcPr>
            <w:tcW w:type="dxa" w:w="68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18</w:t>
            </w:r>
          </w:p>
        </w:tc>
        <w:tc>
          <w:tcPr>
            <w:tcW w:type="dxa" w:w="198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8 / 6 / 4</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51,000</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$4,080</w:t>
            </w:r>
          </w:p>
        </w:tc>
      </w:tr>
      <w:tr>
        <w:tc>
          <w:tcPr>
            <w:tcW w:type="dxa" w:w="85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8</w:t>
            </w:r>
          </w:p>
        </w:tc>
        <w:tc>
          <w:tcPr>
            <w:tcW w:type="dxa" w:w="124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Nov 2026</w:t>
            </w:r>
          </w:p>
        </w:tc>
        <w:tc>
          <w:tcPr>
            <w:tcW w:type="dxa" w:w="68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3</w:t>
            </w:r>
          </w:p>
        </w:tc>
        <w:tc>
          <w:tcPr>
            <w:tcW w:type="dxa" w:w="68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21</w:t>
            </w:r>
          </w:p>
        </w:tc>
        <w:tc>
          <w:tcPr>
            <w:tcW w:type="dxa" w:w="198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9 / 7 / 5</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61,500</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$4,920</w:t>
            </w:r>
          </w:p>
        </w:tc>
      </w:tr>
      <w:tr>
        <w:tc>
          <w:tcPr>
            <w:tcW w:type="dxa" w:w="850"/>
            <w:tcBorders>
              <w:top w:val="single" w:sz="4" w:space="0" w:color="DDDDDD"/>
              <w:left w:val="single" w:sz="4" w:space="0" w:color="DDDDDD"/>
              <w:bottom w:val="single" w:sz="4" w:space="0" w:color="DDDDDD"/>
              <w:right w:val="single" w:sz="4" w:space="0" w:color="DDDDDD"/>
            </w:tcBorders>
            <w:shd w:fill="E8F5E9"/>
          </w:tcPr>
          <w:p>
            <w:pPr>
              <w:jc w:val="left"/>
            </w:pPr>
            <w:r/>
            <w:r>
              <w:rPr>
                <w:rFonts w:ascii="Calibri" w:hAnsi="Calibri"/>
                <w:b/>
                <w:color w:val="1A1A1A"/>
                <w:sz w:val="18"/>
              </w:rPr>
              <w:t>9</w:t>
            </w:r>
          </w:p>
        </w:tc>
        <w:tc>
          <w:tcPr>
            <w:tcW w:type="dxa" w:w="1247"/>
            <w:tcBorders>
              <w:top w:val="single" w:sz="4" w:space="0" w:color="DDDDDD"/>
              <w:left w:val="single" w:sz="4" w:space="0" w:color="DDDDDD"/>
              <w:bottom w:val="single" w:sz="4" w:space="0" w:color="DDDDDD"/>
              <w:right w:val="single" w:sz="4" w:space="0" w:color="DDDDDD"/>
            </w:tcBorders>
            <w:shd w:fill="E8F5E9"/>
          </w:tcPr>
          <w:p>
            <w:pPr>
              <w:jc w:val="left"/>
            </w:pPr>
            <w:r/>
            <w:r>
              <w:rPr>
                <w:rFonts w:ascii="Calibri" w:hAnsi="Calibri"/>
                <w:b/>
                <w:color w:val="1A1A1A"/>
                <w:sz w:val="18"/>
              </w:rPr>
              <w:t>Dec 2026</w:t>
            </w:r>
          </w:p>
        </w:tc>
        <w:tc>
          <w:tcPr>
            <w:tcW w:type="dxa" w:w="680"/>
            <w:tcBorders>
              <w:top w:val="single" w:sz="4" w:space="0" w:color="DDDDDD"/>
              <w:left w:val="single" w:sz="4" w:space="0" w:color="DDDDDD"/>
              <w:bottom w:val="single" w:sz="4" w:space="0" w:color="DDDDDD"/>
              <w:right w:val="single" w:sz="4" w:space="0" w:color="DDDDDD"/>
            </w:tcBorders>
            <w:shd w:fill="E8F5E9"/>
          </w:tcPr>
          <w:p>
            <w:pPr>
              <w:jc w:val="left"/>
            </w:pPr>
            <w:r/>
            <w:r>
              <w:rPr>
                <w:rFonts w:ascii="Calibri" w:hAnsi="Calibri"/>
                <w:b/>
                <w:color w:val="1A1A1A"/>
                <w:sz w:val="18"/>
              </w:rPr>
              <w:t>2</w:t>
            </w:r>
          </w:p>
        </w:tc>
        <w:tc>
          <w:tcPr>
            <w:tcW w:type="dxa" w:w="680"/>
            <w:tcBorders>
              <w:top w:val="single" w:sz="4" w:space="0" w:color="DDDDDD"/>
              <w:left w:val="single" w:sz="4" w:space="0" w:color="DDDDDD"/>
              <w:bottom w:val="single" w:sz="4" w:space="0" w:color="DDDDDD"/>
              <w:right w:val="single" w:sz="4" w:space="0" w:color="DDDDDD"/>
            </w:tcBorders>
            <w:shd w:fill="E8F5E9"/>
          </w:tcPr>
          <w:p>
            <w:pPr>
              <w:jc w:val="left"/>
            </w:pPr>
            <w:r/>
            <w:r>
              <w:rPr>
                <w:rFonts w:ascii="Calibri" w:hAnsi="Calibri"/>
                <w:b/>
                <w:color w:val="1A1A1A"/>
                <w:sz w:val="18"/>
              </w:rPr>
              <w:t>23</w:t>
            </w:r>
          </w:p>
        </w:tc>
        <w:tc>
          <w:tcPr>
            <w:tcW w:type="dxa" w:w="1984"/>
            <w:tcBorders>
              <w:top w:val="single" w:sz="4" w:space="0" w:color="DDDDDD"/>
              <w:left w:val="single" w:sz="4" w:space="0" w:color="DDDDDD"/>
              <w:bottom w:val="single" w:sz="4" w:space="0" w:color="DDDDDD"/>
              <w:right w:val="single" w:sz="4" w:space="0" w:color="DDDDDD"/>
            </w:tcBorders>
            <w:shd w:fill="E8F5E9"/>
          </w:tcPr>
          <w:p>
            <w:pPr>
              <w:jc w:val="left"/>
            </w:pPr>
            <w:r/>
            <w:r>
              <w:rPr>
                <w:rFonts w:ascii="Calibri" w:hAnsi="Calibri"/>
                <w:b/>
                <w:color w:val="1A1A1A"/>
                <w:sz w:val="18"/>
              </w:rPr>
              <w:t>9 / 8 / 6</w:t>
            </w:r>
          </w:p>
        </w:tc>
        <w:tc>
          <w:tcPr>
            <w:tcW w:type="dxa" w:w="1701"/>
            <w:tcBorders>
              <w:top w:val="single" w:sz="4" w:space="0" w:color="DDDDDD"/>
              <w:left w:val="single" w:sz="4" w:space="0" w:color="DDDDDD"/>
              <w:bottom w:val="single" w:sz="4" w:space="0" w:color="DDDDDD"/>
              <w:right w:val="single" w:sz="4" w:space="0" w:color="DDDDDD"/>
            </w:tcBorders>
            <w:shd w:fill="E8F5E9"/>
          </w:tcPr>
          <w:p>
            <w:pPr>
              <w:jc w:val="left"/>
            </w:pPr>
            <w:r/>
            <w:r>
              <w:rPr>
                <w:rFonts w:ascii="Calibri" w:hAnsi="Calibri"/>
                <w:b/>
                <w:color w:val="1A1A1A"/>
                <w:sz w:val="18"/>
              </w:rPr>
              <w:t>68,000</w:t>
            </w:r>
          </w:p>
        </w:tc>
        <w:tc>
          <w:tcPr>
            <w:tcW w:type="dxa" w:w="1701"/>
            <w:tcBorders>
              <w:top w:val="single" w:sz="4" w:space="0" w:color="DDDDDD"/>
              <w:left w:val="single" w:sz="4" w:space="0" w:color="DDDDDD"/>
              <w:bottom w:val="single" w:sz="4" w:space="0" w:color="DDDDDD"/>
              <w:right w:val="single" w:sz="4" w:space="0" w:color="DDDDDD"/>
            </w:tcBorders>
            <w:shd w:fill="E8F5E9"/>
          </w:tcPr>
          <w:p>
            <w:pPr>
              <w:jc w:val="left"/>
            </w:pPr>
            <w:r/>
            <w:r>
              <w:rPr>
                <w:rFonts w:ascii="Calibri" w:hAnsi="Calibri"/>
                <w:b/>
                <w:color w:val="1A1A1A"/>
                <w:sz w:val="18"/>
              </w:rPr>
              <w:t>$5,440</w:t>
            </w:r>
          </w:p>
        </w:tc>
      </w:tr>
      <w:tr>
        <w:tc>
          <w:tcPr>
            <w:tcW w:type="dxa" w:w="85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10</w:t>
            </w:r>
          </w:p>
        </w:tc>
        <w:tc>
          <w:tcPr>
            <w:tcW w:type="dxa" w:w="124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Jan 2027</w:t>
            </w:r>
          </w:p>
        </w:tc>
        <w:tc>
          <w:tcPr>
            <w:tcW w:type="dxa" w:w="68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3</w:t>
            </w:r>
          </w:p>
        </w:tc>
        <w:tc>
          <w:tcPr>
            <w:tcW w:type="dxa" w:w="68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26</w:t>
            </w:r>
          </w:p>
        </w:tc>
        <w:tc>
          <w:tcPr>
            <w:tcW w:type="dxa" w:w="198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10 / 9 / 7</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78,500</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$6,280</w:t>
            </w:r>
          </w:p>
        </w:tc>
      </w:tr>
      <w:tr>
        <w:tc>
          <w:tcPr>
            <w:tcW w:type="dxa" w:w="85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11</w:t>
            </w:r>
          </w:p>
        </w:tc>
        <w:tc>
          <w:tcPr>
            <w:tcW w:type="dxa" w:w="124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Feb 2027</w:t>
            </w:r>
          </w:p>
        </w:tc>
        <w:tc>
          <w:tcPr>
            <w:tcW w:type="dxa" w:w="68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3</w:t>
            </w:r>
          </w:p>
        </w:tc>
        <w:tc>
          <w:tcPr>
            <w:tcW w:type="dxa" w:w="680"/>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29</w:t>
            </w:r>
          </w:p>
        </w:tc>
        <w:tc>
          <w:tcPr>
            <w:tcW w:type="dxa" w:w="198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10 / 11 / 8</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89,500</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$7,160</w:t>
            </w:r>
          </w:p>
        </w:tc>
      </w:tr>
      <w:tr>
        <w:tc>
          <w:tcPr>
            <w:tcW w:type="dxa" w:w="85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12</w:t>
            </w:r>
          </w:p>
        </w:tc>
        <w:tc>
          <w:tcPr>
            <w:tcW w:type="dxa" w:w="124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Mar 2027</w:t>
            </w:r>
          </w:p>
        </w:tc>
        <w:tc>
          <w:tcPr>
            <w:tcW w:type="dxa" w:w="68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3</w:t>
            </w:r>
          </w:p>
        </w:tc>
        <w:tc>
          <w:tcPr>
            <w:tcW w:type="dxa" w:w="680"/>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32</w:t>
            </w:r>
          </w:p>
        </w:tc>
        <w:tc>
          <w:tcPr>
            <w:tcW w:type="dxa" w:w="198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10 / 12 / 10</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102,500</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$8,200</w:t>
            </w:r>
          </w:p>
        </w:tc>
      </w:tr>
    </w:tbl>
    <w:p>
      <w:pPr>
        <w:spacing w:after="80"/>
      </w:pPr>
      <w:r>
        <w:rPr>
          <w:rFonts w:ascii="Calibri" w:hAnsi="Calibri"/>
          <w:b w:val="0"/>
          <w:i w:val="0"/>
          <w:color w:val="1A1A1A"/>
          <w:sz w:val="20"/>
        </w:rPr>
      </w:r>
    </w:p>
    <w:p>
      <w:pPr>
        <w:spacing w:before="120" w:after="120"/>
        <w:shd w:fill="FDF2EC"/>
        <w:pBdr>
          <w:left w:val="single" w:sz="24" w:space="4" w:color="E8520A"/>
        </w:pBdr>
      </w:pPr>
      <w:r>
        <w:rPr>
          <w:rFonts w:ascii="Calibri" w:hAnsi="Calibri"/>
          <w:i/>
          <w:color w:val="CC4709"/>
          <w:sz w:val="19"/>
        </w:rPr>
        <w:t>$5,000/month milestone reached in Month 9 (December 2026). Year 1 cumulative ElevenLabs spend: ~$46,000. Exiting Year 1 at a $8,200/month run rate ($98K annualized).</w:t>
      </w:r>
    </w:p>
    <w:p>
      <w:pPr>
        <w:pStyle w:val="Heading2"/>
      </w:pPr>
      <w:r>
        <w:rPr>
          <w:rFonts w:ascii="Calibri" w:hAnsi="Calibri"/>
          <w:color w:val="E8520A"/>
        </w:rPr>
        <w:t>Key Assumptions</w:t>
      </w:r>
    </w:p>
    <w:p>
      <w:pPr>
        <w:pStyle w:val="ListBullet"/>
        <w:spacing w:after="40"/>
      </w:pPr>
      <w:r>
        <w:rPr>
          <w:rFonts w:ascii="Calibri" w:hAnsi="Calibri"/>
          <w:b/>
          <w:color w:val="1A1A1A"/>
          <w:sz w:val="19"/>
        </w:rPr>
        <w:t>Call volume:</w:t>
      </w:r>
      <w:r>
        <w:rPr>
          <w:rFonts w:ascii="Calibri" w:hAnsi="Calibri"/>
          <w:color w:val="1A1A1A"/>
          <w:sz w:val="19"/>
        </w:rPr>
        <w:t xml:space="preserve"> Average call duration ~3 minutes, business days 20/month</w:t>
      </w:r>
    </w:p>
    <w:p>
      <w:pPr>
        <w:pStyle w:val="ListBullet"/>
        <w:spacing w:after="40"/>
      </w:pPr>
      <w:r>
        <w:rPr>
          <w:rFonts w:ascii="Calibri" w:hAnsi="Calibri"/>
          <w:b/>
          <w:color w:val="1A1A1A"/>
          <w:sz w:val="19"/>
        </w:rPr>
        <w:t>Minutes per tier:</w:t>
      </w:r>
      <w:r>
        <w:rPr>
          <w:rFonts w:ascii="Calibri" w:hAnsi="Calibri"/>
          <w:color w:val="1A1A1A"/>
          <w:sz w:val="19"/>
        </w:rPr>
        <w:t xml:space="preserve"> Basis ~1,500 min/mo, Professional ~3,500 min/mo, Premium ~6,000 min/mo</w:t>
      </w:r>
    </w:p>
    <w:p>
      <w:pPr>
        <w:pStyle w:val="ListBullet"/>
        <w:spacing w:after="40"/>
      </w:pPr>
      <w:r>
        <w:rPr>
          <w:rFonts w:ascii="Calibri" w:hAnsi="Calibri"/>
          <w:b/>
          <w:color w:val="1A1A1A"/>
          <w:sz w:val="19"/>
        </w:rPr>
        <w:t>EL cost per minute:</w:t>
      </w:r>
      <w:r>
        <w:rPr>
          <w:rFonts w:ascii="Calibri" w:hAnsi="Calibri"/>
          <w:color w:val="1A1A1A"/>
          <w:sz w:val="19"/>
        </w:rPr>
        <w:t xml:space="preserve"> $0.08/min (current ElevenLabs rate)</w:t>
      </w:r>
    </w:p>
    <w:p>
      <w:pPr>
        <w:pStyle w:val="ListBullet"/>
        <w:spacing w:after="40"/>
      </w:pPr>
      <w:r>
        <w:rPr>
          <w:rFonts w:ascii="Calibri" w:hAnsi="Calibri"/>
          <w:b/>
          <w:color w:val="1A1A1A"/>
          <w:sz w:val="19"/>
        </w:rPr>
        <w:t>Tier migration:</w:t>
      </w:r>
      <w:r>
        <w:rPr>
          <w:rFonts w:ascii="Calibri" w:hAnsi="Calibri"/>
          <w:color w:val="1A1A1A"/>
          <w:sz w:val="19"/>
        </w:rPr>
        <w:t xml:space="preserve"> Customers upgrade from Basis → Professional → Premium over time. Mix shifts toward higher tiers as firms see ROI.</w:t>
      </w:r>
    </w:p>
    <w:p>
      <w:pPr>
        <w:pStyle w:val="ListBullet"/>
        <w:spacing w:after="40"/>
      </w:pPr>
      <w:r>
        <w:rPr>
          <w:rFonts w:ascii="Calibri" w:hAnsi="Calibri"/>
          <w:b/>
          <w:color w:val="1A1A1A"/>
          <w:sz w:val="19"/>
        </w:rPr>
        <w:t>Churn:</w:t>
      </w:r>
      <w:r>
        <w:rPr>
          <w:rFonts w:ascii="Calibri" w:hAnsi="Calibri"/>
          <w:color w:val="1A1A1A"/>
          <w:sz w:val="19"/>
        </w:rPr>
        <w:t xml:space="preserve"> &lt;5% monthly (professional services with high switching costs)</w:t>
      </w:r>
    </w:p>
    <w:p>
      <w:r>
        <w:br w:type="page"/>
      </w:r>
    </w:p>
    <w:p>
      <w:pPr>
        <w:pStyle w:val="Heading1"/>
      </w:pPr>
      <w:r>
        <w:rPr>
          <w:rFonts w:ascii="Calibri" w:hAnsi="Calibri"/>
          <w:color w:val="E8520A"/>
        </w:rPr>
        <w:t>6. Scenario Analysis</w:t>
      </w:r>
    </w:p>
    <w:tbl>
      <w:tblPr>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417"/>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Scenario</w:t>
            </w:r>
          </w:p>
        </w:tc>
        <w:tc>
          <w:tcPr>
            <w:tcW w:type="dxa" w:w="1587"/>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Customers (M12)</w:t>
            </w:r>
          </w:p>
        </w:tc>
        <w:tc>
          <w:tcPr>
            <w:tcW w:type="dxa" w:w="1701"/>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Minutes/mo (M12)</w:t>
            </w:r>
          </w:p>
        </w:tc>
        <w:tc>
          <w:tcPr>
            <w:tcW w:type="dxa" w:w="1701"/>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EL spend/mo (M12)</w:t>
            </w:r>
          </w:p>
        </w:tc>
        <w:tc>
          <w:tcPr>
            <w:tcW w:type="dxa" w:w="1587"/>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EL annual total</w:t>
            </w:r>
          </w:p>
        </w:tc>
        <w:tc>
          <w:tcPr>
            <w:tcW w:type="dxa" w:w="1587"/>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$5k/mo reached</w:t>
            </w:r>
          </w:p>
        </w:tc>
      </w:tr>
      <w:tr>
        <w:tc>
          <w:tcPr>
            <w:tcW w:type="dxa" w:w="141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Conservative</w:t>
            </w:r>
          </w:p>
        </w:tc>
        <w:tc>
          <w:tcPr>
            <w:tcW w:type="dxa" w:w="158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20</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55,000</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$4,400</w:t>
            </w:r>
          </w:p>
        </w:tc>
        <w:tc>
          <w:tcPr>
            <w:tcW w:type="dxa" w:w="158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$28,000</w:t>
            </w:r>
          </w:p>
        </w:tc>
        <w:tc>
          <w:tcPr>
            <w:tcW w:type="dxa" w:w="158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Month 10–11</w:t>
            </w:r>
          </w:p>
        </w:tc>
      </w:tr>
      <w:tr>
        <w:tc>
          <w:tcPr>
            <w:tcW w:type="dxa" w:w="141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Target</w:t>
            </w:r>
          </w:p>
        </w:tc>
        <w:tc>
          <w:tcPr>
            <w:tcW w:type="dxa" w:w="158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32</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102,500</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$8,200</w:t>
            </w:r>
          </w:p>
        </w:tc>
        <w:tc>
          <w:tcPr>
            <w:tcW w:type="dxa" w:w="158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$46,000</w:t>
            </w:r>
          </w:p>
        </w:tc>
        <w:tc>
          <w:tcPr>
            <w:tcW w:type="dxa" w:w="158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Month 9</w:t>
            </w:r>
          </w:p>
        </w:tc>
      </w:tr>
      <w:tr>
        <w:tc>
          <w:tcPr>
            <w:tcW w:type="dxa" w:w="141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Stretch</w:t>
            </w:r>
          </w:p>
        </w:tc>
        <w:tc>
          <w:tcPr>
            <w:tcW w:type="dxa" w:w="158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45</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145,000</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$11,600</w:t>
            </w:r>
          </w:p>
        </w:tc>
        <w:tc>
          <w:tcPr>
            <w:tcW w:type="dxa" w:w="158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$68,000</w:t>
            </w:r>
          </w:p>
        </w:tc>
        <w:tc>
          <w:tcPr>
            <w:tcW w:type="dxa" w:w="158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Month 7</w:t>
            </w:r>
          </w:p>
        </w:tc>
      </w:tr>
    </w:tbl>
    <w:p>
      <w:pPr>
        <w:spacing w:after="120"/>
      </w:pPr>
      <w:r>
        <w:rPr>
          <w:rFonts w:ascii="Calibri" w:hAnsi="Calibri"/>
          <w:b w:val="0"/>
          <w:i/>
          <w:color w:val="555555"/>
          <w:sz w:val="19"/>
        </w:rPr>
        <w:t>Even in the conservative scenario, we cross $4,400/month by Month 12 — and the pipeline from legalXchange Munich alone should push us into the target scenario.</w:t>
      </w:r>
    </w:p>
    <w:p>
      <w:pPr>
        <w:pStyle w:val="Heading1"/>
      </w:pPr>
      <w:r>
        <w:rPr>
          <w:rFonts w:ascii="Calibri" w:hAnsi="Calibri"/>
          <w:color w:val="E8520A"/>
        </w:rPr>
        <w:t>7. What We Need from ElevenLabs</w:t>
      </w:r>
    </w:p>
    <w:p>
      <w:pPr>
        <w:spacing w:after="120"/>
      </w:pPr>
      <w:r>
        <w:rPr>
          <w:rFonts w:ascii="Calibri" w:hAnsi="Calibri"/>
          <w:b w:val="0"/>
          <w:i w:val="0"/>
          <w:color w:val="1A1A1A"/>
          <w:sz w:val="20"/>
        </w:rPr>
        <w:t>To execute this rollout, we're looking for a partnership structure that acknowledges our early stage while recognizing the committed trajectory:</w:t>
      </w:r>
    </w:p>
    <w:p>
      <w:pPr>
        <w:pStyle w:val="ListBullet"/>
        <w:spacing w:after="40"/>
      </w:pPr>
      <w:r>
        <w:rPr>
          <w:rFonts w:ascii="Calibri" w:hAnsi="Calibri"/>
          <w:b/>
          <w:color w:val="1A1A1A"/>
          <w:sz w:val="19"/>
        </w:rPr>
        <w:t xml:space="preserve">Ramp-up pricing tier — </w:t>
      </w:r>
      <w:r>
        <w:rPr>
          <w:rFonts w:ascii="Calibri" w:hAnsi="Calibri"/>
          <w:color w:val="1A1A1A"/>
          <w:sz w:val="19"/>
        </w:rPr>
        <w:t>A lower initial commitment (Month 1–6) that scales to full enterprise pricing as we cross volume milestones. We commit to the documented ramp plan above.</w:t>
      </w:r>
    </w:p>
    <w:p>
      <w:pPr>
        <w:pStyle w:val="ListBullet"/>
        <w:spacing w:after="40"/>
      </w:pPr>
      <w:r>
        <w:rPr>
          <w:rFonts w:ascii="Calibri" w:hAnsi="Calibri"/>
          <w:b/>
          <w:color w:val="1A1A1A"/>
          <w:sz w:val="19"/>
        </w:rPr>
        <w:t xml:space="preserve">Uptime SLA — </w:t>
      </w:r>
      <w:r>
        <w:rPr>
          <w:rFonts w:ascii="Calibri" w:hAnsi="Calibri"/>
          <w:color w:val="1A1A1A"/>
          <w:sz w:val="19"/>
        </w:rPr>
        <w:t>Law firms rely on Clara as their primary phone line. Downtime = missed cases = lost clients. We need production-grade reliability guarantees for a mission-critical deployment.</w:t>
      </w:r>
    </w:p>
    <w:p>
      <w:pPr>
        <w:pStyle w:val="ListBullet"/>
        <w:spacing w:after="40"/>
      </w:pPr>
      <w:r>
        <w:rPr>
          <w:rFonts w:ascii="Calibri" w:hAnsi="Calibri"/>
          <w:b/>
          <w:color w:val="1A1A1A"/>
          <w:sz w:val="19"/>
        </w:rPr>
        <w:t xml:space="preserve">Priority support channel — </w:t>
      </w:r>
      <w:r>
        <w:rPr>
          <w:rFonts w:ascii="Calibri" w:hAnsi="Calibri"/>
          <w:color w:val="1A1A1A"/>
          <w:sz w:val="19"/>
        </w:rPr>
        <w:t>Faster-than-community response times for production issues. Our customers are law firms — they have zero tolerance for 'the AI is down.'</w:t>
      </w:r>
    </w:p>
    <w:p>
      <w:pPr>
        <w:pStyle w:val="ListBullet"/>
        <w:spacing w:after="40"/>
      </w:pPr>
      <w:r>
        <w:rPr>
          <w:rFonts w:ascii="Calibri" w:hAnsi="Calibri"/>
          <w:b/>
          <w:color w:val="1A1A1A"/>
          <w:sz w:val="19"/>
        </w:rPr>
        <w:t xml:space="preserve">German voice quality — </w:t>
      </w:r>
      <w:r>
        <w:rPr>
          <w:rFonts w:ascii="Calibri" w:hAnsi="Calibri"/>
          <w:color w:val="1A1A1A"/>
          <w:sz w:val="19"/>
        </w:rPr>
        <w:t>Native-quality German is non-negotiable. Callers must not detect they're speaking to AI. Any voice quality improvements or German-specific tuning directly impacts our conversion.</w:t>
      </w:r>
    </w:p>
    <w:p>
      <w:pPr>
        <w:pStyle w:val="ListBullet"/>
        <w:spacing w:after="40"/>
      </w:pPr>
      <w:r>
        <w:rPr>
          <w:rFonts w:ascii="Calibri" w:hAnsi="Calibri"/>
          <w:b/>
          <w:color w:val="1A1A1A"/>
          <w:sz w:val="19"/>
        </w:rPr>
        <w:t xml:space="preserve">EU data residency documentation — </w:t>
      </w:r>
      <w:r>
        <w:rPr>
          <w:rFonts w:ascii="Calibri" w:hAnsi="Calibri"/>
          <w:color w:val="1A1A1A"/>
          <w:sz w:val="19"/>
        </w:rPr>
        <w:t>German law firms operate under §203 StGB (professional secrecy). We need clear documentation on where voice data is processed and stored for GDPR Art. 28 compliance.</w:t>
      </w:r>
    </w:p>
    <w:p>
      <w:pPr>
        <w:pStyle w:val="ListBullet"/>
        <w:spacing w:after="40"/>
      </w:pPr>
      <w:r>
        <w:rPr>
          <w:rFonts w:ascii="Calibri" w:hAnsi="Calibri"/>
          <w:b/>
          <w:color w:val="1A1A1A"/>
          <w:sz w:val="19"/>
        </w:rPr>
        <w:t xml:space="preserve">Co-marketing opportunities — </w:t>
      </w:r>
      <w:r>
        <w:rPr>
          <w:rFonts w:ascii="Calibri" w:hAnsi="Calibri"/>
          <w:color w:val="1A1A1A"/>
          <w:sz w:val="19"/>
        </w:rPr>
        <w:t>We're launching at legalXchange Munich (Apr 28–30). A partner badge, case study, or co-branded content would strengthen our credibility in a trust-sensitive market.</w:t>
      </w:r>
    </w:p>
    <w:p>
      <w:pPr>
        <w:pStyle w:val="Heading1"/>
      </w:pPr>
      <w:r>
        <w:rPr>
          <w:rFonts w:ascii="Calibri" w:hAnsi="Calibri"/>
          <w:color w:val="E8520A"/>
        </w:rPr>
        <w:t>8. What ElevenLabs Gets</w:t>
      </w:r>
    </w:p>
    <w:p>
      <w:pPr>
        <w:pStyle w:val="ListBullet"/>
        <w:spacing w:after="40"/>
      </w:pPr>
      <w:r>
        <w:rPr>
          <w:rFonts w:ascii="Calibri" w:hAnsi="Calibri"/>
          <w:b/>
          <w:color w:val="1A1A1A"/>
          <w:sz w:val="19"/>
        </w:rPr>
        <w:t>German market entry:</w:t>
      </w:r>
      <w:r>
        <w:rPr>
          <w:rFonts w:ascii="Calibri" w:hAnsi="Calibri"/>
          <w:color w:val="1A1A1A"/>
          <w:sz w:val="19"/>
        </w:rPr>
        <w:t xml:space="preserve"> First credible DACH vertical partner with deep domain expertise in regulated professional services.</w:t>
      </w:r>
    </w:p>
    <w:p>
      <w:pPr>
        <w:pStyle w:val="ListBullet"/>
        <w:spacing w:after="40"/>
      </w:pPr>
      <w:r>
        <w:rPr>
          <w:rFonts w:ascii="Calibri" w:hAnsi="Calibri"/>
          <w:b/>
          <w:color w:val="1A1A1A"/>
          <w:sz w:val="19"/>
        </w:rPr>
        <w:t>Technical showcase:</w:t>
      </w:r>
      <w:r>
        <w:rPr>
          <w:rFonts w:ascii="Calibri" w:hAnsi="Calibri"/>
          <w:color w:val="1A1A1A"/>
          <w:sz w:val="19"/>
        </w:rPr>
        <w:t xml:space="preserve"> A single-agent architecture that showcases ElevenLabs' conversational AI in a high-stakes, real-world production environment.</w:t>
      </w:r>
    </w:p>
    <w:p>
      <w:pPr>
        <w:pStyle w:val="ListBullet"/>
        <w:spacing w:after="40"/>
      </w:pPr>
      <w:r>
        <w:rPr>
          <w:rFonts w:ascii="Calibri" w:hAnsi="Calibri"/>
          <w:b/>
          <w:color w:val="1A1A1A"/>
          <w:sz w:val="19"/>
        </w:rPr>
        <w:t>Addressable market:</w:t>
      </w:r>
      <w:r>
        <w:rPr>
          <w:rFonts w:ascii="Calibri" w:hAnsi="Calibri"/>
          <w:color w:val="1A1A1A"/>
          <w:sz w:val="19"/>
        </w:rPr>
        <w:t xml:space="preserve"> 100K+ mapped businesses across law firms, tax advisors, vet practices, and staffing agencies in DACH.</w:t>
      </w:r>
    </w:p>
    <w:p>
      <w:pPr>
        <w:pStyle w:val="ListBullet"/>
        <w:spacing w:after="40"/>
      </w:pPr>
      <w:r>
        <w:rPr>
          <w:rFonts w:ascii="Calibri" w:hAnsi="Calibri"/>
          <w:b/>
          <w:color w:val="1A1A1A"/>
          <w:sz w:val="19"/>
        </w:rPr>
        <w:t>Revenue commitment:</w:t>
      </w:r>
      <w:r>
        <w:rPr>
          <w:rFonts w:ascii="Calibri" w:hAnsi="Calibri"/>
          <w:color w:val="1A1A1A"/>
          <w:sz w:val="19"/>
        </w:rPr>
        <w:t xml:space="preserve"> Projected $46K–$98K+ annually in platform usage, growing with each vertical expansion.</w:t>
      </w:r>
    </w:p>
    <w:p>
      <w:pPr>
        <w:pStyle w:val="ListBullet"/>
        <w:spacing w:after="40"/>
      </w:pPr>
      <w:r>
        <w:rPr>
          <w:rFonts w:ascii="Calibri" w:hAnsi="Calibri"/>
          <w:b/>
          <w:color w:val="1A1A1A"/>
          <w:sz w:val="19"/>
        </w:rPr>
        <w:t>Case study material:</w:t>
      </w:r>
      <w:r>
        <w:rPr>
          <w:rFonts w:ascii="Calibri" w:hAnsi="Calibri"/>
          <w:color w:val="1A1A1A"/>
          <w:sz w:val="19"/>
        </w:rPr>
        <w:t xml:space="preserve"> A ready-made case study: 'How German law firms use ElevenLabs to never miss a client call again.'</w:t>
      </w:r>
    </w:p>
    <w:p>
      <w:r>
        <w:br w:type="page"/>
      </w:r>
    </w:p>
    <w:p>
      <w:pPr>
        <w:pStyle w:val="Heading1"/>
      </w:pPr>
      <w:r>
        <w:rPr>
          <w:rFonts w:ascii="Calibri" w:hAnsi="Calibri"/>
          <w:color w:val="E8520A"/>
        </w:rPr>
        <w:t>9. Proposed Ramp Structure</w:t>
      </w:r>
    </w:p>
    <w:p>
      <w:pPr>
        <w:spacing w:after="120"/>
      </w:pPr>
      <w:r>
        <w:rPr>
          <w:rFonts w:ascii="Calibri" w:hAnsi="Calibri"/>
          <w:b w:val="0"/>
          <w:i w:val="0"/>
          <w:color w:val="1A1A1A"/>
          <w:sz w:val="20"/>
        </w:rPr>
        <w:t>We propose a tiered commitment that aligns our spend with customer acquisition milestones:</w:t>
      </w:r>
    </w:p>
    <w:tbl>
      <w:tblPr>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134"/>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Phase</w:t>
            </w:r>
          </w:p>
        </w:tc>
        <w:tc>
          <w:tcPr>
            <w:tcW w:type="dxa" w:w="1417"/>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Period</w:t>
            </w:r>
          </w:p>
        </w:tc>
        <w:tc>
          <w:tcPr>
            <w:tcW w:type="dxa" w:w="1417"/>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Customers</w:t>
            </w:r>
          </w:p>
        </w:tc>
        <w:tc>
          <w:tcPr>
            <w:tcW w:type="dxa" w:w="1984"/>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Est. EL spend/mo</w:t>
            </w:r>
          </w:p>
        </w:tc>
        <w:tc>
          <w:tcPr>
            <w:tcW w:type="dxa" w:w="2835"/>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Commitment</w:t>
            </w:r>
          </w:p>
        </w:tc>
      </w:tr>
      <w:tr>
        <w:tc>
          <w:tcPr>
            <w:tcW w:type="dxa" w:w="113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Seed</w:t>
            </w:r>
          </w:p>
        </w:tc>
        <w:tc>
          <w:tcPr>
            <w:tcW w:type="dxa" w:w="141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Month 1–3</w:t>
            </w:r>
          </w:p>
        </w:tc>
        <w:tc>
          <w:tcPr>
            <w:tcW w:type="dxa" w:w="141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2–7</w:t>
            </w:r>
          </w:p>
        </w:tc>
        <w:tc>
          <w:tcPr>
            <w:tcW w:type="dxa" w:w="198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$240–$1,400</w:t>
            </w:r>
          </w:p>
        </w:tc>
        <w:tc>
          <w:tcPr>
            <w:tcW w:type="dxa" w:w="2835"/>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Base platform subscription</w:t>
            </w:r>
          </w:p>
        </w:tc>
      </w:tr>
      <w:tr>
        <w:tc>
          <w:tcPr>
            <w:tcW w:type="dxa" w:w="113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Growth</w:t>
            </w:r>
          </w:p>
        </w:tc>
        <w:tc>
          <w:tcPr>
            <w:tcW w:type="dxa" w:w="141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Month 4–6</w:t>
            </w:r>
          </w:p>
        </w:tc>
        <w:tc>
          <w:tcPr>
            <w:tcW w:type="dxa" w:w="141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9–15</w:t>
            </w:r>
          </w:p>
        </w:tc>
        <w:tc>
          <w:tcPr>
            <w:tcW w:type="dxa" w:w="198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$1,800–$3,400</w:t>
            </w:r>
          </w:p>
        </w:tc>
        <w:tc>
          <w:tcPr>
            <w:tcW w:type="dxa" w:w="2835"/>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Volume discount tier activated</w:t>
            </w:r>
          </w:p>
        </w:tc>
      </w:tr>
      <w:tr>
        <w:tc>
          <w:tcPr>
            <w:tcW w:type="dxa" w:w="113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Scale</w:t>
            </w:r>
          </w:p>
        </w:tc>
        <w:tc>
          <w:tcPr>
            <w:tcW w:type="dxa" w:w="141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Month 7–9</w:t>
            </w:r>
          </w:p>
        </w:tc>
        <w:tc>
          <w:tcPr>
            <w:tcW w:type="dxa" w:w="1417"/>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18–23</w:t>
            </w:r>
          </w:p>
        </w:tc>
        <w:tc>
          <w:tcPr>
            <w:tcW w:type="dxa" w:w="1984"/>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$4,080–$5,440</w:t>
            </w:r>
          </w:p>
        </w:tc>
        <w:tc>
          <w:tcPr>
            <w:tcW w:type="dxa" w:w="2835"/>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$5k/month milestone — full enterprise tier</w:t>
            </w:r>
          </w:p>
        </w:tc>
      </w:tr>
      <w:tr>
        <w:tc>
          <w:tcPr>
            <w:tcW w:type="dxa" w:w="113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Expand</w:t>
            </w:r>
          </w:p>
        </w:tc>
        <w:tc>
          <w:tcPr>
            <w:tcW w:type="dxa" w:w="141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Month 10–12</w:t>
            </w:r>
          </w:p>
        </w:tc>
        <w:tc>
          <w:tcPr>
            <w:tcW w:type="dxa" w:w="1417"/>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26–32</w:t>
            </w:r>
          </w:p>
        </w:tc>
        <w:tc>
          <w:tcPr>
            <w:tcW w:type="dxa" w:w="1984"/>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$6,280–$8,200</w:t>
            </w:r>
          </w:p>
        </w:tc>
        <w:tc>
          <w:tcPr>
            <w:tcW w:type="dxa" w:w="2835"/>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Full enterprise pricing, expansion verticals begin</w:t>
            </w:r>
          </w:p>
        </w:tc>
      </w:tr>
    </w:tbl>
    <w:p>
      <w:pPr>
        <w:spacing w:before="120" w:after="120"/>
        <w:shd w:fill="FDF2EC"/>
        <w:pBdr>
          <w:left w:val="single" w:sz="24" w:space="4" w:color="E8520A"/>
        </w:pBdr>
      </w:pPr>
      <w:r>
        <w:rPr>
          <w:rFonts w:ascii="Calibri" w:hAnsi="Calibri"/>
          <w:i/>
          <w:color w:val="CC4709"/>
          <w:sz w:val="19"/>
        </w:rPr>
        <w:t>We're not asking for free credits — we're asking for a pricing structure that makes it rational for us to go all-in on ElevenLabs from day one, rather than hedging with alternatives. Invest in us now, and we bring you the entire DACH professional services vertical.</w:t>
      </w:r>
    </w:p>
    <w:p>
      <w:pPr>
        <w:pStyle w:val="Heading1"/>
      </w:pPr>
      <w:r>
        <w:rPr>
          <w:rFonts w:ascii="Calibri" w:hAnsi="Calibri"/>
          <w:color w:val="E8520A"/>
        </w:rPr>
        <w:t>10. Key Milestones &amp; Review Checkpoints</w:t>
      </w:r>
    </w:p>
    <w:tbl>
      <w:tblPr>
        <w:tblW w:type="auto" w:w="0"/>
        <w:jc w:val="center"/>
        <w:tblLayout w:type="autofit"/>
        <w:tblLook w:firstColumn="1" w:firstRow="1" w:lastColumn="0" w:lastRow="0" w:noHBand="0" w:noVBand="1" w:val="04A0"/>
      </w:tblPr>
      <w:tblGrid>
        <w:gridCol w:w="3024"/>
        <w:gridCol w:w="3024"/>
        <w:gridCol w:w="3024"/>
      </w:tblGrid>
      <w:tr>
        <w:tc>
          <w:tcPr>
            <w:tcW w:type="dxa" w:w="2551"/>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Milestone</w:t>
            </w:r>
          </w:p>
        </w:tc>
        <w:tc>
          <w:tcPr>
            <w:tcW w:type="dxa" w:w="1701"/>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Target date</w:t>
            </w:r>
          </w:p>
        </w:tc>
        <w:tc>
          <w:tcPr>
            <w:tcW w:type="dxa" w:w="4819"/>
            <w:shd w:fill="E8520A"/>
            <w:tcBorders>
              <w:top w:val="single" w:sz="6" w:space="0" w:color="E8520A"/>
              <w:left w:val="single" w:sz="6" w:space="0" w:color="E8520A"/>
              <w:bottom w:val="single" w:sz="6" w:space="0" w:color="E8520A"/>
              <w:right w:val="single" w:sz="6" w:space="0" w:color="E8520A"/>
            </w:tcBorders>
          </w:tcPr>
          <w:p>
            <w:pPr>
              <w:jc w:val="left"/>
            </w:pPr>
            <w:r/>
            <w:r>
              <w:rPr>
                <w:rFonts w:ascii="Calibri" w:hAnsi="Calibri"/>
                <w:b/>
                <w:color w:val="FFFFFF"/>
                <w:sz w:val="18"/>
              </w:rPr>
              <w:t>What it proves</w:t>
            </w:r>
          </w:p>
        </w:tc>
      </w:tr>
      <w:tr>
        <w:tc>
          <w:tcPr>
            <w:tcW w:type="dxa" w:w="255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First 3 paying customers</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May 2026</w:t>
            </w:r>
          </w:p>
        </w:tc>
        <w:tc>
          <w:tcPr>
            <w:tcW w:type="dxa" w:w="4819"/>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Product-market fit validated, unit economics confirmed</w:t>
            </w:r>
          </w:p>
        </w:tc>
      </w:tr>
      <w:tr>
        <w:tc>
          <w:tcPr>
            <w:tcW w:type="dxa" w:w="255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10 paying customers</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Jul 2026</w:t>
            </w:r>
          </w:p>
        </w:tc>
        <w:tc>
          <w:tcPr>
            <w:tcW w:type="dxa" w:w="4819"/>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Repeatable sales motion, templates working across practice areas</w:t>
            </w:r>
          </w:p>
        </w:tc>
      </w:tr>
      <w:tr>
        <w:tc>
          <w:tcPr>
            <w:tcW w:type="dxa" w:w="255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$3,000/mo EL spend</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Sep 2026</w:t>
            </w:r>
          </w:p>
        </w:tc>
        <w:tc>
          <w:tcPr>
            <w:tcW w:type="dxa" w:w="4819"/>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Volume ramp on track, retention confirmed</w:t>
            </w:r>
          </w:p>
        </w:tc>
      </w:tr>
      <w:tr>
        <w:tc>
          <w:tcPr>
            <w:tcW w:type="dxa" w:w="255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$5,000/mo EL spend</w:t>
            </w:r>
          </w:p>
        </w:tc>
        <w:tc>
          <w:tcPr>
            <w:tcW w:type="dxa" w:w="1701"/>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Dec 2026</w:t>
            </w:r>
          </w:p>
        </w:tc>
        <w:tc>
          <w:tcPr>
            <w:tcW w:type="dxa" w:w="4819"/>
            <w:tcBorders>
              <w:top w:val="single" w:sz="4" w:space="0" w:color="DDDDDD"/>
              <w:left w:val="single" w:sz="4" w:space="0" w:color="DDDDDD"/>
              <w:bottom w:val="single" w:sz="4" w:space="0" w:color="DDDDDD"/>
              <w:right w:val="single" w:sz="4" w:space="0" w:color="DDDDDD"/>
            </w:tcBorders>
            <w:shd w:fill="FDF2EC"/>
          </w:tcPr>
          <w:p>
            <w:pPr>
              <w:jc w:val="left"/>
            </w:pPr>
            <w:r/>
            <w:r>
              <w:rPr>
                <w:rFonts w:ascii="Calibri" w:hAnsi="Calibri"/>
                <w:color w:val="1A1A1A"/>
                <w:sz w:val="18"/>
              </w:rPr>
              <w:t>Full enterprise commitment, expansion planning begins</w:t>
            </w:r>
          </w:p>
        </w:tc>
      </w:tr>
      <w:tr>
        <w:tc>
          <w:tcPr>
            <w:tcW w:type="dxa" w:w="255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Tax advisor vertical pilot</w:t>
            </w:r>
          </w:p>
        </w:tc>
        <w:tc>
          <w:tcPr>
            <w:tcW w:type="dxa" w:w="1701"/>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Q1 2027</w:t>
            </w:r>
          </w:p>
        </w:tc>
        <w:tc>
          <w:tcPr>
            <w:tcW w:type="dxa" w:w="4819"/>
            <w:tcBorders>
              <w:top w:val="single" w:sz="4" w:space="0" w:color="DDDDDD"/>
              <w:left w:val="single" w:sz="4" w:space="0" w:color="DDDDDD"/>
              <w:bottom w:val="single" w:sz="4" w:space="0" w:color="DDDDDD"/>
              <w:right w:val="single" w:sz="4" w:space="0" w:color="DDDDDD"/>
            </w:tcBorders>
          </w:tcPr>
          <w:p>
            <w:pPr>
              <w:jc w:val="left"/>
            </w:pPr>
            <w:r/>
            <w:r>
              <w:rPr>
                <w:rFonts w:ascii="Calibri" w:hAnsi="Calibri"/>
                <w:color w:val="1A1A1A"/>
                <w:sz w:val="18"/>
              </w:rPr>
              <w:t>Multi-vertical expansion validated, TAM 10x</w:t>
            </w:r>
          </w:p>
        </w:tc>
      </w:tr>
    </w:tbl>
    <w:p>
      <w:pPr>
        <w:spacing w:after="120"/>
      </w:pPr>
      <w:r>
        <w:rPr>
          <w:rFonts w:ascii="Calibri" w:hAnsi="Calibri"/>
          <w:b w:val="0"/>
          <w:i w:val="0"/>
          <w:color w:val="1A1A1A"/>
          <w:sz w:val="20"/>
        </w:rPr>
        <w:t>We're happy to provide monthly usage reports and schedule quarterly reviews to track progress against these milestones.</w:t>
      </w:r>
    </w:p>
    <w:p>
      <w:pPr>
        <w:spacing w:before="80" w:after="80"/>
        <w:pBdr>
          <w:bottom w:val="single" w:sz="6" w:space="1" w:color="E8520A"/>
        </w:pBdr>
      </w:pPr>
    </w:p>
    <w:p>
      <w:pPr>
        <w:pStyle w:val="Heading2"/>
      </w:pPr>
      <w:r>
        <w:rPr>
          <w:rFonts w:ascii="Calibri" w:hAnsi="Calibri"/>
          <w:color w:val="E8520A"/>
        </w:rPr>
        <w:t>Contact</w:t>
      </w:r>
    </w:p>
    <w:p>
      <w:pPr>
        <w:spacing w:after="120"/>
      </w:pPr>
      <w:r>
        <w:rPr>
          <w:rFonts w:ascii="Calibri" w:hAnsi="Calibri"/>
          <w:b/>
          <w:i w:val="0"/>
          <w:color w:val="1A1A1A"/>
          <w:sz w:val="22"/>
        </w:rPr>
        <w:t>Remington Ramsay</w:t>
      </w:r>
    </w:p>
    <w:p>
      <w:pPr>
        <w:spacing w:after="40"/>
      </w:pPr>
      <w:r>
        <w:rPr>
          <w:rFonts w:ascii="Calibri" w:hAnsi="Calibri"/>
          <w:b w:val="0"/>
          <w:i w:val="0"/>
          <w:color w:val="555555"/>
          <w:sz w:val="20"/>
        </w:rPr>
        <w:t>CEO, sevenlayers</w:t>
      </w:r>
    </w:p>
    <w:p>
      <w:pPr>
        <w:spacing w:after="40"/>
      </w:pPr>
      <w:r>
        <w:rPr>
          <w:rFonts w:ascii="Calibri" w:hAnsi="Calibri"/>
          <w:b w:val="0"/>
          <w:i w:val="0"/>
          <w:color w:val="E8520A"/>
          <w:sz w:val="20"/>
        </w:rPr>
        <w:t>remington@sevenlayers.com</w:t>
      </w:r>
    </w:p>
    <w:p>
      <w:pPr>
        <w:spacing w:after="240"/>
      </w:pPr>
      <w:r>
        <w:rPr>
          <w:rFonts w:ascii="Calibri" w:hAnsi="Calibri"/>
          <w:b w:val="0"/>
          <w:i w:val="0"/>
          <w:color w:val="E8520A"/>
          <w:sz w:val="20"/>
        </w:rPr>
        <w:t>sevenlayers.com</w:t>
      </w:r>
    </w:p>
    <w:p>
      <w:pPr>
        <w:spacing w:before="80" w:after="80"/>
        <w:pBdr>
          <w:bottom w:val="single" w:sz="6" w:space="1" w:color="E8520A"/>
        </w:pBdr>
      </w:pPr>
    </w:p>
    <w:p>
      <w:pPr>
        <w:spacing w:after="120"/>
        <w:jc w:val="center"/>
      </w:pPr>
      <w:r>
        <w:rPr>
          <w:rFonts w:ascii="Calibri" w:hAnsi="Calibri"/>
          <w:b w:val="0"/>
          <w:i/>
          <w:color w:val="555555"/>
          <w:sz w:val="16"/>
        </w:rPr>
        <w:t>Confidential. Prepared for ElevenLabs Enterprise Sales. March 2026.</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E852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E852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