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E8520A"/>
          <w:sz w:val="56"/>
        </w:rPr>
        <w:t>OpenRouter Enterprise</w:t>
        <w:br/>
        <w:t>Rollout Forecast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after="480"/>
      </w:pPr>
      <w:r>
        <w:rPr>
          <w:rFonts w:ascii="Calibri" w:hAnsi="Calibri"/>
          <w:color w:val="555555"/>
          <w:sz w:val="28"/>
        </w:rPr>
        <w:t>sevenlayers — AI Platform for German Professional Services</w:t>
      </w:r>
    </w:p>
    <w:p>
      <w:pPr>
        <w:spacing w:after="120"/>
      </w:pPr>
      <w:r>
        <w:rPr>
          <w:rFonts w:ascii="Calibri" w:hAnsi="Calibri"/>
          <w:b w:val="0"/>
          <w:i w:val="0"/>
          <w:color w:val="555555"/>
          <w:sz w:val="20"/>
        </w:rPr>
        <w:t>This document provides a 12-month rollout forecast for our OpenRouter inference usage, supporting our request for an initial enterprise tier with EU regional routing and a documented ramp plan toward $5,000+/month in platform spend.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18"/>
        </w:rPr>
        <w:t>Confidential  |  March 2026  |  Prepared for OpenRouter Enterprise Sales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sevenlayers is building an AI-powered platform for German professional services, starting with law firms (Kanzleien). Our platform combines a voice AI receptionist with backend AI agents that handle client intake, document structuring, appointment booking, and case preparation — all requiring LLM inference.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We are at a specific inflection point: our Germany-hosted pilot deployment is live on Hetzner (Nuremberg), configured to use eu.openrouter.ai/api/v1 as its inference endpoint. But our external launch to law firm customers is blocked pending an OpenRouter Enterprise DPA (Auftragsverarbeitungsvereinbarung / Data Processing Agreement) that confirms EU data residency.</w:t>
      </w:r>
    </w:p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The blocker is compliance, not technology. Our staging environment is running. Our first customers are waiting. EU routing + a signed DPA is what unlocks production launch — and the volume that follows.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0"/>
        </w:rPr>
        <w:t>What we're asking for: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Ramp-up pricing:</w:t>
      </w:r>
      <w:r>
        <w:rPr>
          <w:rFonts w:ascii="Calibri" w:hAnsi="Calibri"/>
          <w:color w:val="1A1A1A"/>
          <w:sz w:val="19"/>
        </w:rPr>
        <w:t xml:space="preserve"> A lower initial enterprise tier with EU regional routing enabled, tied to a documented ramp plan. Our committed spend is below $5k/month today because we're pre-launch — but the enterprise DPA is literally the gate that unlocks production volume.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$5k/month target:</w:t>
      </w:r>
      <w:r>
        <w:rPr>
          <w:rFonts w:ascii="Calibri" w:hAnsi="Calibri"/>
          <w:color w:val="1A1A1A"/>
          <w:sz w:val="19"/>
        </w:rPr>
        <w:t xml:space="preserve"> We project crossing $5,000/month in OpenRouter inference spend by Month 8–10 of our rollout.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EU routing:</w:t>
      </w:r>
      <w:r>
        <w:rPr>
          <w:rFonts w:ascii="Calibri" w:hAnsi="Calibri"/>
          <w:color w:val="1A1A1A"/>
          <w:sz w:val="19"/>
        </w:rPr>
        <w:t xml:space="preserve"> EU regional routing via eu.openrouter.ai is a hard legal requirement for German law firms under GDPR Art. 28, BRAO §43a, and StGB §203 (professional secrecy).</w:t>
      </w:r>
    </w:p>
    <w:p>
      <w:pPr>
        <w:pStyle w:val="Heading1"/>
      </w:pPr>
      <w:r>
        <w:rPr>
          <w:rFonts w:ascii="Calibri" w:hAnsi="Calibri"/>
          <w:color w:val="E8520A"/>
        </w:rPr>
        <w:t>2. Why EU Routing Is Non-Negotiable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German law firms operate under some of the strictest data protection requirements in Europe. Three overlapping legal frameworks make EU data residency mandatory for any AI inference processing client data: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Legal framework</w:t>
            </w:r>
          </w:p>
        </w:tc>
        <w:tc>
          <w:tcPr>
            <w:tcW w:type="dxa" w:w="368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02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Consequence of non-compliance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GDPR Art. 28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Data processing agreements required with all processors. Transfers outside EEA require additional safeguards (SCCs, TIA).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Administrative fines up to €20M or 4% of annual turnover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BRAO §43a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Attorney obligation to maintain professional secrecy. Extends to all technical service providers.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Disciplinary proceedings, loss of license to practice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StGB §203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Criminal liability for disclosure of professional secrets. Covers attorneys, tax advisors, auditors.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Criminal prosecution — up to 1 year imprisonment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</w:r>
    </w:p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For our law firm customers, using an AI service without confirmed EU data residency is not a business risk — it is a potential criminal liability. This is why we cannot launch without EU routing, regardless of how ready our technology is.</w:t>
      </w:r>
    </w:p>
    <w:p>
      <w:pPr>
        <w:pStyle w:val="Heading2"/>
      </w:pPr>
      <w:r>
        <w:rPr>
          <w:rFonts w:ascii="Calibri" w:hAnsi="Calibri"/>
          <w:color w:val="E8520A"/>
        </w:rPr>
        <w:t>Our Compliance Evidence Framework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We maintain a 12-point legal evidence matrix for every external processor. For OpenRouter, the following items are pending: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4819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E-LGL-001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Signed DPA/AVV with OpenRouter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Pending — requires enterprise tier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E-LGL-002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Subprocessor list and notification rights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E-LGL-004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Data transfer map confirming EU residency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Pending — requires EU routing confirmation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E-LGL-005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SCC/TIA for any non-adequate country transfers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Pending — depends on routing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Our release gate policy is fail-closed: external launch remains NO_GO until all mandatory legal artifacts are complete. The OpenRouter DPA is on the critical path.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3. Product &amp; Architecture</w:t>
      </w:r>
    </w:p>
    <w:p>
      <w:pPr>
        <w:pStyle w:val="Heading2"/>
      </w:pPr>
      <w:r>
        <w:rPr>
          <w:rFonts w:ascii="Calibri" w:hAnsi="Calibri"/>
          <w:color w:val="E8520A"/>
        </w:rPr>
        <w:t>What We Build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Our platform serves as the complete AI-powered front office for law firms. It has two inference surfaces, both routed through OpenRouter: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Inference pattern</w:t>
            </w:r>
          </w:p>
        </w:tc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Models used</w:t>
            </w:r>
          </w:p>
        </w:tc>
      </w:tr>
      <w:tr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Voice agent backend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Powers "Clara" — a 24/7 AI receptionist that answers calls, qualifies practice area, assesses urgency, and books appointments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Real-time conversational turns, tool calling, structured output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4, GPT-4o</w:t>
            </w:r>
          </w:p>
        </w:tc>
      </w:tr>
      <w:tr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Backend AI agents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Client intake structuring, case preparation, document drafting, CRM enrichment, compliance logging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Multi-step agent chains, tool orchestration, RAG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4, Llama 3.3 70B</w:t>
            </w:r>
          </w:p>
        </w:tc>
      </w:tr>
      <w:tr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AI chat assistant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Attorney-facing chat for case research, document Q&amp;A, and workflow automation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Conversational with context windows, vision support</w:t>
            </w:r>
          </w:p>
        </w:tc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4, GPT-4o, Gemini 2.5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Deployment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1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Where it runs</w:t>
            </w:r>
          </w:p>
        </w:tc>
        <w:tc>
          <w:tcPr>
            <w:tcW w:type="dxa" w:w="311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residency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Voice AI (Clara)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ElevenLabs (EU mode)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EU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Telephony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Twilio (German local numbers)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EU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LLM inference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OpenRouter (eu.openrouter.ai)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EU — hard requirement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Application backend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Convex (real-time database + functions)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US (no client PII stored)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Germany pilot (NemoClaw)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Hetzner Nuremberg, Germany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Germany only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CRM / Booking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Platform backend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Per deployment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OpenRouter Integration Details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Endpoint:</w:t>
      </w:r>
      <w:r>
        <w:rPr>
          <w:rFonts w:ascii="Calibri" w:hAnsi="Calibri"/>
          <w:color w:val="1A1A1A"/>
          <w:sz w:val="19"/>
        </w:rPr>
        <w:t xml:space="preserve"> eu.openrouter.ai/api/v1 (EU regional endpoint)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API format:</w:t>
      </w:r>
      <w:r>
        <w:rPr>
          <w:rFonts w:ascii="Calibri" w:hAnsi="Calibri"/>
          <w:color w:val="1A1A1A"/>
          <w:sz w:val="19"/>
        </w:rPr>
        <w:t xml:space="preserve"> OpenAI-compatible completions API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Routing:</w:t>
      </w:r>
      <w:r>
        <w:rPr>
          <w:rFonts w:ascii="Calibri" w:hAnsi="Calibri"/>
          <w:color w:val="1A1A1A"/>
          <w:sz w:val="19"/>
        </w:rPr>
        <w:t xml:space="preserve"> Multi-provider model routing with failover policy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Compliance controls:</w:t>
      </w:r>
      <w:r>
        <w:rPr>
          <w:rFonts w:ascii="Calibri" w:hAnsi="Calibri"/>
          <w:color w:val="1A1A1A"/>
          <w:sz w:val="19"/>
        </w:rPr>
        <w:t xml:space="preserve"> Fallbacks disabled (allow_fallbacks: false) — EU-approved providers only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Data policy:</w:t>
      </w:r>
      <w:r>
        <w:rPr>
          <w:rFonts w:ascii="Calibri" w:hAnsi="Calibri"/>
          <w:color w:val="1A1A1A"/>
          <w:sz w:val="19"/>
        </w:rPr>
        <w:t xml:space="preserve"> data_collection: deny, zero data retention (ZDR) enabled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Models:</w:t>
      </w:r>
      <w:r>
        <w:rPr>
          <w:rFonts w:ascii="Calibri" w:hAnsi="Calibri"/>
          <w:color w:val="1A1A1A"/>
          <w:sz w:val="19"/>
        </w:rPr>
        <w:t xml:space="preserve"> Claude Sonnet 4 (primary), GPT-4o, Llama 3.3 70B (fallback)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4. Target Market &amp; Go-to-Market</w:t>
      </w:r>
    </w:p>
    <w:p>
      <w:pPr>
        <w:pStyle w:val="Heading2"/>
      </w:pPr>
      <w:r>
        <w:rPr>
          <w:rFonts w:ascii="Calibri" w:hAnsi="Calibri"/>
          <w:color w:val="E8520A"/>
        </w:rPr>
        <w:t>Phase 0–1: German Law Firms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Firm size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5–20 lawyers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Revenue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€1M–€5M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Geography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Germany (NRW, Bavaria, Berlin, Hamburg)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Pain point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59% of callers hang up on voicemail. Each missed call = lost revenue.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Decision maker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Managing partner (4–6 week sales cycle)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Compliance bar</w:t>
            </w:r>
          </w:p>
        </w:tc>
        <w:tc>
          <w:tcPr>
            <w:tcW w:type="dxa" w:w="68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GDPR Art. 28, BRAO §43a, StGB §203 — all AI processors must be EU-resident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Sales Motion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1. Demo call —</w:t>
      </w:r>
      <w:r>
        <w:rPr>
          <w:rFonts w:ascii="Calibri" w:hAnsi="Calibri"/>
          <w:color w:val="1A1A1A"/>
          <w:sz w:val="19"/>
        </w:rPr>
        <w:t xml:space="preserve"> Prospect calls a live demo number, hears Clara in action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2. Call audit (€0) —</w:t>
      </w:r>
      <w:r>
        <w:rPr>
          <w:rFonts w:ascii="Calibri" w:hAnsi="Calibri"/>
          <w:color w:val="1A1A1A"/>
          <w:sz w:val="19"/>
        </w:rPr>
        <w:t xml:space="preserve"> 2-week free overflow capture to prove ROI with data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3. Pilot (€299/mo) —</w:t>
      </w:r>
      <w:r>
        <w:rPr>
          <w:rFonts w:ascii="Calibri" w:hAnsi="Calibri"/>
          <w:color w:val="1A1A1A"/>
          <w:sz w:val="19"/>
        </w:rPr>
        <w:t xml:space="preserve"> Full AI booking enabled, prove appointment conversion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4. Paid (€499–1,999/mo) —</w:t>
      </w:r>
      <w:r>
        <w:rPr>
          <w:rFonts w:ascii="Calibri" w:hAnsi="Calibri"/>
          <w:color w:val="1A1A1A"/>
          <w:sz w:val="19"/>
        </w:rPr>
        <w:t xml:space="preserve"> Full platform with dashboard, templates, compliance docs</w:t>
      </w:r>
    </w:p>
    <w:p>
      <w:pPr>
        <w:pStyle w:val="Heading2"/>
      </w:pPr>
      <w:r>
        <w:rPr>
          <w:rFonts w:ascii="Calibri" w:hAnsi="Calibri"/>
          <w:color w:val="E8520A"/>
        </w:rPr>
        <w:t>Launch Events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legalXchange Munich (Apr 28–30, 2026)</w:t>
      </w:r>
      <w:r>
        <w:rPr>
          <w:rFonts w:ascii="Calibri" w:hAnsi="Calibri"/>
          <w:color w:val="1A1A1A"/>
          <w:sz w:val="19"/>
        </w:rPr>
        <w:t xml:space="preserve"> — PRIMARY LAUNCH EVENT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Deutscher Anwaltstag (Jun 8–12, 2026)</w:t>
      </w:r>
      <w:r>
        <w:rPr>
          <w:rFonts w:ascii="Calibri" w:hAnsi="Calibri"/>
          <w:color w:val="1A1A1A"/>
          <w:sz w:val="19"/>
        </w:rPr>
        <w:t xml:space="preserve"> — German Bar Association annual conference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Legal Tech Day Berlin (Sep 17, 2026)</w:t>
      </w:r>
      <w:r>
        <w:rPr>
          <w:rFonts w:ascii="Calibri" w:hAnsi="Calibri"/>
          <w:color w:val="1A1A1A"/>
          <w:sz w:val="19"/>
        </w:rPr>
      </w:r>
    </w:p>
    <w:p>
      <w:pPr>
        <w:pStyle w:val="Heading2"/>
      </w:pPr>
      <w:r>
        <w:rPr>
          <w:rFonts w:ascii="Calibri" w:hAnsi="Calibri"/>
          <w:color w:val="E8520A"/>
        </w:rPr>
        <w:t>Expansion Verticals (Year 2+)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Vertical</w:t>
            </w:r>
          </w:p>
        </w:tc>
        <w:tc>
          <w:tcPr>
            <w:tcW w:type="dxa" w:w="255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TAM (Germany)</w:t>
            </w:r>
          </w:p>
        </w:tc>
        <w:tc>
          <w:tcPr>
            <w:tcW w:type="dxa" w:w="255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Law firms (Kanzleien)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~5,000 firms in ICP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Now — Year 1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Tax advisors (Steuerberater)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50,000+ firms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6–12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Veterinary practices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10,000+ practices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12–18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Staffing agencies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46,000 firms</w:t>
            </w:r>
          </w:p>
        </w:tc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Year 2</w:t>
            </w:r>
          </w:p>
        </w:tc>
      </w:tr>
    </w:tbl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Every one of these verticals in Germany requires EU data residency for AI inference. Solving this once with OpenRouter Enterprise unlocks the entire DACH professional services market for us — and for OpenRouter.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5. Inference Usage Per Customer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Each law firm customer generates LLM inference across three surfaces. Below are our per-customer usage estimates based on call patterns and agent workflow complexity:</w:t>
      </w:r>
    </w:p>
    <w:p>
      <w:pPr>
        <w:pStyle w:val="Heading2"/>
      </w:pPr>
      <w:r>
        <w:rPr>
          <w:rFonts w:ascii="Calibri" w:hAnsi="Calibri"/>
          <w:color w:val="E8520A"/>
        </w:rPr>
        <w:t>Voice Agent Backend (per inbound call)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Avg tokens</w:t>
            </w:r>
          </w:p>
        </w:tc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Est. cost/call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Practice area classification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~800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$0.005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Urgency assessment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~600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$0.004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Structured intake extraction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~1,500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$0.010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Booking slot resolution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$0.003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Post-call summary generation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~1,200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Claude Sonnet 4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$0.008</w:t>
            </w:r>
          </w:p>
        </w:tc>
      </w:tr>
      <w:tr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Total per call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~4,500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$0.03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Backend AI Agents (per customer/month)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Avg tokens/run</w:t>
            </w:r>
          </w:p>
        </w:tc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Case intake structuring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~400 runs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~2,000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$5.30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Attorney brief generation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~200 runs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~3,000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$4.00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CRM enrichment &amp; tagging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~400 runs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~800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$2.10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Compliance audit logging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~600 runs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~500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$2.00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Total backend agents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~$13.40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AI Chat Assistant (per customer/month)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Sessions/mo</w:t>
            </w:r>
          </w:p>
        </w:tc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Avg tokens/session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Attorney chat sessions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~80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~6,000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$3.20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Document Q&amp;A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~40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~8,000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$2.10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Total chat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~$5.30</w:t>
            </w:r>
          </w:p>
        </w:tc>
      </w:tr>
    </w:tbl>
    <w:p>
      <w:pPr>
        <w:spacing w:before="80" w:after="80"/>
        <w:pBdr>
          <w:bottom w:val="single" w:sz="6" w:space="1" w:color="E8520A"/>
        </w:pBdr>
      </w:pPr>
    </w:p>
    <w:p>
      <w:pPr>
        <w:pStyle w:val="Heading2"/>
      </w:pPr>
      <w:r>
        <w:rPr>
          <w:rFonts w:ascii="Calibri" w:hAnsi="Calibri"/>
          <w:color w:val="E8520A"/>
        </w:rPr>
        <w:t>Total Inference Cost Per Customer Per Month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13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Calls/mo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Voice inference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Backend agents</w:t>
            </w:r>
          </w:p>
        </w:tc>
        <w:tc>
          <w:tcPr>
            <w:tcW w:type="dxa" w:w="850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Chat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 OR spend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Basis (2–5 lawyers)</w:t>
            </w:r>
          </w:p>
        </w:tc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~500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$15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$13</w:t>
            </w:r>
          </w:p>
        </w:tc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$5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~$33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Professional (5–15 lawyers)</w:t>
            </w:r>
          </w:p>
        </w:tc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~1,150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$35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$25</w:t>
            </w:r>
          </w:p>
        </w:tc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$12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~$72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Premium (15+ lawyers)</w:t>
            </w:r>
          </w:p>
        </w:tc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~2,000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$60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$45</w:t>
            </w:r>
          </w:p>
        </w:tc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$22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~$127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6. 12-Month Rollout Forecast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The table below shows our month-by-month customer acquisition plan and the resulting OpenRouter inference spend. The $5,000/month milestone is highlighted.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24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680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New</w:t>
            </w:r>
          </w:p>
        </w:tc>
        <w:tc>
          <w:tcPr>
            <w:tcW w:type="dxa" w:w="680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1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Mix (B / P / Pr)</w:t>
            </w:r>
          </w:p>
        </w:tc>
        <w:tc>
          <w:tcPr>
            <w:tcW w:type="dxa" w:w="158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 tokens/mo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 spend/mo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Apr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 / 0 / 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~7M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$240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May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 / 1 / 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~18M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$570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Jun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7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4 / 2 / 1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~38M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$1,150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Jul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9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5 / 3 / 1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~52M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$1,530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Aug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12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6 / 4 / 2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~76M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$2,220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6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Sep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15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7 / 5 / 3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~102M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$2,990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7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Oct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18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8 / 6 / 4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~128M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$3,740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8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Nov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21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9 / 7 / 5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~158M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$4,590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9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Dec 2026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2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23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9 / 8 / 6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~180M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E8F5E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A1A1A"/>
                <w:sz w:val="18"/>
              </w:rPr>
              <w:t>$5,220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Jan 2027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26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 / 9 / 7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~210M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$6,080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11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Feb 2027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29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 / 11 / 8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~244M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$7,050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12</w:t>
            </w:r>
          </w:p>
        </w:tc>
        <w:tc>
          <w:tcPr>
            <w:tcW w:type="dxa" w:w="124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Mar 2027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32</w:t>
            </w:r>
          </w:p>
        </w:tc>
        <w:tc>
          <w:tcPr>
            <w:tcW w:type="dxa" w:w="181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 / 12 / 10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~282M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$8,100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</w:r>
    </w:p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$5,000/month milestone reached in Month 9 (December 2026). Year 1 cumulative OpenRouter spend: ~$43,500. Exiting Year 1 at $8,100/month run rate ($97K annualized).</w:t>
      </w:r>
    </w:p>
    <w:p>
      <w:pPr>
        <w:pStyle w:val="Heading2"/>
      </w:pPr>
      <w:r>
        <w:rPr>
          <w:rFonts w:ascii="Calibri" w:hAnsi="Calibri"/>
          <w:color w:val="E8520A"/>
        </w:rPr>
        <w:t>Key Assumptions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Inference per customer:</w:t>
      </w:r>
      <w:r>
        <w:rPr>
          <w:rFonts w:ascii="Calibri" w:hAnsi="Calibri"/>
          <w:color w:val="1A1A1A"/>
          <w:sz w:val="19"/>
        </w:rPr>
        <w:t xml:space="preserve"> ~$33/mo (Basis), ~$72/mo (Professional), ~$127/mo (Premium)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Avg cost per token:</w:t>
      </w:r>
      <w:r>
        <w:rPr>
          <w:rFonts w:ascii="Calibri" w:hAnsi="Calibri"/>
          <w:color w:val="1A1A1A"/>
          <w:sz w:val="19"/>
        </w:rPr>
        <w:t xml:space="preserve"> Claude Sonnet 4 primary (~$6.60/M tokens blended). Actual cost depends on prompt/completion ratio and model mix.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Tier migration:</w:t>
      </w:r>
      <w:r>
        <w:rPr>
          <w:rFonts w:ascii="Calibri" w:hAnsi="Calibri"/>
          <w:color w:val="1A1A1A"/>
          <w:sz w:val="19"/>
        </w:rPr>
        <w:t xml:space="preserve"> Customers upgrade Basis → Professional → Premium as call volume grows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Churn:</w:t>
      </w:r>
      <w:r>
        <w:rPr>
          <w:rFonts w:ascii="Calibri" w:hAnsi="Calibri"/>
          <w:color w:val="1A1A1A"/>
          <w:sz w:val="19"/>
        </w:rPr>
        <w:t xml:space="preserve"> &lt;5% monthly (professional services with high switching costs)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Voice synthesis costs:</w:t>
      </w:r>
      <w:r>
        <w:rPr>
          <w:rFonts w:ascii="Calibri" w:hAnsi="Calibri"/>
          <w:color w:val="1A1A1A"/>
          <w:sz w:val="19"/>
        </w:rPr>
        <w:t xml:space="preserve"> Not included in this forecast. Voice minutes billed separately via ElevenLabs.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7. Scenario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8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Customers (M12)</w:t>
            </w:r>
          </w:p>
        </w:tc>
        <w:tc>
          <w:tcPr>
            <w:tcW w:type="dxa" w:w="158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Tokens/mo (M12)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 spend/mo (M12)</w:t>
            </w:r>
          </w:p>
        </w:tc>
        <w:tc>
          <w:tcPr>
            <w:tcW w:type="dxa" w:w="158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 annual total</w:t>
            </w:r>
          </w:p>
        </w:tc>
        <w:tc>
          <w:tcPr>
            <w:tcW w:type="dxa" w:w="158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$5k/mo reached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Conservative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~160M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$4,600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$26,000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10–11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Target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32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~282M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$8,100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$43,500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9</w:t>
            </w:r>
          </w:p>
        </w:tc>
      </w:tr>
      <w:tr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Stretch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45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~400M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$11,500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$64,000</w:t>
            </w:r>
          </w:p>
        </w:tc>
        <w:tc>
          <w:tcPr>
            <w:tcW w:type="dxa" w:w="158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7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Even in the conservative scenario, we reach ~$4,600/month by Month 12. The pipeline from legalXchange Munich alone should push us into the target scenario.</w:t>
      </w:r>
    </w:p>
    <w:p>
      <w:pPr>
        <w:pStyle w:val="Heading2"/>
      </w:pPr>
      <w:r>
        <w:rPr>
          <w:rFonts w:ascii="Calibri" w:hAnsi="Calibri"/>
          <w:color w:val="E8520A"/>
        </w:rPr>
        <w:t>Volume Accelerators Not Included Above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Steuerberater vertical:</w:t>
      </w:r>
      <w:r>
        <w:rPr>
          <w:rFonts w:ascii="Calibri" w:hAnsi="Calibri"/>
          <w:color w:val="1A1A1A"/>
          <w:sz w:val="19"/>
        </w:rPr>
        <w:t xml:space="preserve"> Tax advisor expansion begins Month 6–12. TAM is 10x larger than law firms (50K+ firms). Even 5 early tax advisor customers would add ~$360/month in inference.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Template expansion:</w:t>
      </w:r>
      <w:r>
        <w:rPr>
          <w:rFonts w:ascii="Calibri" w:hAnsi="Calibri"/>
          <w:color w:val="1A1A1A"/>
          <w:sz w:val="19"/>
        </w:rPr>
        <w:t xml:space="preserve"> As we add more practice area templates (currently 4, targeting 8–12 by Year 1), average inference per customer increases ~30%.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Chat adoption curve:</w:t>
      </w:r>
      <w:r>
        <w:rPr>
          <w:rFonts w:ascii="Calibri" w:hAnsi="Calibri"/>
          <w:color w:val="1A1A1A"/>
          <w:sz w:val="19"/>
        </w:rPr>
        <w:t xml:space="preserve"> Attorney-facing chat adoption typically grows 3–4 months after deployment as attorneys build trust with the tool.</w:t>
      </w:r>
    </w:p>
    <w:p>
      <w:pPr>
        <w:pStyle w:val="Heading1"/>
      </w:pPr>
      <w:r>
        <w:rPr>
          <w:rFonts w:ascii="Calibri" w:hAnsi="Calibri"/>
          <w:color w:val="E8520A"/>
        </w:rPr>
        <w:t>8. What We Need from OpenRouter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EU regional routing (eu.openrouter.ai) — </w:t>
      </w:r>
      <w:r>
        <w:rPr>
          <w:rFonts w:ascii="Calibri" w:hAnsi="Calibri"/>
          <w:color w:val="1A1A1A"/>
          <w:sz w:val="19"/>
        </w:rPr>
        <w:t>This is the hard compliance gate. Without confirmed EU routing and a signed DPA, we cannot process any law firm client data through OpenRouter. Our staging environment is already configured for eu.openrouter.ai/api/v1 — we just need it activated on an enterprise plan.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Signed DPA/AVV — </w:t>
      </w:r>
      <w:r>
        <w:rPr>
          <w:rFonts w:ascii="Calibri" w:hAnsi="Calibri"/>
          <w:color w:val="1A1A1A"/>
          <w:sz w:val="19"/>
        </w:rPr>
        <w:t>A Data Processing Agreement compliant with GDPR Art. 28, with explicit clauses for professional secrecy (§203 StGB). This is a mandatory legal artifact in our 12-point evidence matrix (E-LGL-001). Without it, our release gate stays NO_GO.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Ramp-up pricing — </w:t>
      </w:r>
      <w:r>
        <w:rPr>
          <w:rFonts w:ascii="Calibri" w:hAnsi="Calibri"/>
          <w:color w:val="1A1A1A"/>
          <w:sz w:val="19"/>
        </w:rPr>
        <w:t>A lower initial commitment (Month 1–6) that scales to full enterprise pricing as we cross volume milestones. We commit to the documented ramp plan.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Zero data retention (ZDR) — </w:t>
      </w:r>
      <w:r>
        <w:rPr>
          <w:rFonts w:ascii="Calibri" w:hAnsi="Calibri"/>
          <w:color w:val="1A1A1A"/>
          <w:sz w:val="19"/>
        </w:rPr>
        <w:t>Confirmation that inference data is not retained or used for model training. We configure data_collection: deny on all requests.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Subprocessor transparency — </w:t>
      </w:r>
      <w:r>
        <w:rPr>
          <w:rFonts w:ascii="Calibri" w:hAnsi="Calibri"/>
          <w:color w:val="1A1A1A"/>
          <w:sz w:val="19"/>
        </w:rPr>
        <w:t>A current list of subprocessors involved in EU-routed inference, with notification rights for changes. Required for our evidence artifact E-LGL-002.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Priority support — </w:t>
      </w:r>
      <w:r>
        <w:rPr>
          <w:rFonts w:ascii="Calibri" w:hAnsi="Calibri"/>
          <w:color w:val="1A1A1A"/>
          <w:sz w:val="19"/>
        </w:rPr>
        <w:t>Faster-than-community response for production issues. Law firms have zero tolerance for AI downtime during business hours.</w:t>
      </w:r>
    </w:p>
    <w:p>
      <w:pPr>
        <w:pStyle w:val="Heading1"/>
      </w:pPr>
      <w:r>
        <w:rPr>
          <w:rFonts w:ascii="Calibri" w:hAnsi="Calibri"/>
          <w:color w:val="E8520A"/>
        </w:rPr>
        <w:t>9. What OpenRouter Gets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EU enterprise validation:</w:t>
      </w:r>
      <w:r>
        <w:rPr>
          <w:rFonts w:ascii="Calibri" w:hAnsi="Calibri"/>
          <w:color w:val="1A1A1A"/>
          <w:sz w:val="19"/>
        </w:rPr>
        <w:t xml:space="preserve"> First production deployment of EU-routed inference for regulated German professional services. A case study that proves OpenRouter Enterprise works for the most compliance-sensitive use cases in Europe.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DACH market access:</w:t>
      </w:r>
      <w:r>
        <w:rPr>
          <w:rFonts w:ascii="Calibri" w:hAnsi="Calibri"/>
          <w:color w:val="1A1A1A"/>
          <w:sz w:val="19"/>
        </w:rPr>
        <w:t xml:space="preserve"> 100K+ mapped businesses across law firms, tax advisors, vet practices, and staffing agencies — all requiring EU-routed inference.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Multi-model showcase:</w:t>
      </w:r>
      <w:r>
        <w:rPr>
          <w:rFonts w:ascii="Calibri" w:hAnsi="Calibri"/>
          <w:color w:val="1A1A1A"/>
          <w:sz w:val="19"/>
        </w:rPr>
        <w:t xml:space="preserve"> Multi-model routing across Claude, GPT-4o, Llama, and Gemini. Our platform showcases OpenRouter's core value: provider-agnostic model access with compliance controls.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Revenue commitment:</w:t>
      </w:r>
      <w:r>
        <w:rPr>
          <w:rFonts w:ascii="Calibri" w:hAnsi="Calibri"/>
          <w:color w:val="1A1A1A"/>
          <w:sz w:val="19"/>
        </w:rPr>
        <w:t xml:space="preserve"> Projected $43K–$97K+ annually, growing with each vertical.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Platform lock-in:</w:t>
      </w:r>
      <w:r>
        <w:rPr>
          <w:rFonts w:ascii="Calibri" w:hAnsi="Calibri"/>
          <w:color w:val="1A1A1A"/>
          <w:sz w:val="19"/>
        </w:rPr>
        <w:t xml:space="preserve"> Every customer we onboard is locked into OpenRouter as their inference provider. We don't offer self-hosted alternatives — OpenRouter IS the inference layer.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10. Proposed Ramp Structure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We propose a tiered commitment that aligns spend with customer acquisition milestones. EU routing is required from Day 1 — that is non-negotiable for compliance.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417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Customers</w:t>
            </w:r>
          </w:p>
        </w:tc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Est. OR spend/mo</w:t>
            </w:r>
          </w:p>
        </w:tc>
        <w:tc>
          <w:tcPr>
            <w:tcW w:type="dxa" w:w="311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Commitment</w:t>
            </w:r>
          </w:p>
        </w:tc>
      </w:tr>
      <w:tr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Pilot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1–3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2–7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$240–$1,150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EU routing enabled, base enterprise subscription</w:t>
            </w:r>
          </w:p>
        </w:tc>
      </w:tr>
      <w:tr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Growth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4–6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9–15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$1,530–$2,990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Volume discount tier activated</w:t>
            </w:r>
          </w:p>
        </w:tc>
      </w:tr>
      <w:tr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Scale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7–9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18–23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$3,740–$5,220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$5k/month milestone — full enterprise tier</w:t>
            </w:r>
          </w:p>
        </w:tc>
      </w:tr>
      <w:tr>
        <w:tc>
          <w:tcPr>
            <w:tcW w:type="dxa" w:w="113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Expand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Month 10–12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26–32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$6,080–$8,100</w:t>
            </w:r>
          </w:p>
        </w:tc>
        <w:tc>
          <w:tcPr>
            <w:tcW w:type="dxa" w:w="311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Full enterprise pricing, new verticals begin</w:t>
            </w:r>
          </w:p>
        </w:tc>
      </w:tr>
    </w:tbl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We're not asking for free inference — we're asking for EU routing access and a pricing structure that makes it rational for us to build our entire platform on OpenRouter from day one. Every customer we close is a customer OpenRouter keeps.</w:t>
      </w:r>
    </w:p>
    <w:p>
      <w:pPr>
        <w:pStyle w:val="Heading1"/>
      </w:pPr>
      <w:r>
        <w:rPr>
          <w:rFonts w:ascii="Calibri" w:hAnsi="Calibri"/>
          <w:color w:val="E8520A"/>
        </w:rPr>
        <w:t>11. Key Milestones &amp; Review Checkpoints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701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4819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proves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DPA signed, EU routing live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Apr 2026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Compliance gate cleared, production launch unblocked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First 3 paying law firms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May 2026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Product-market fit, inference usage validated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10 paying customers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Jul 2026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Repeatable sales motion, unit economics confirmed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$3,000/mo OR spend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Sep 2026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Volume ramp on track, retention confirmed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$5,000/mo OR spend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Dec 2026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Full enterprise commitment, expansion planning begins</w:t>
            </w:r>
          </w:p>
        </w:tc>
      </w:tr>
      <w:tr>
        <w:tc>
          <w:tcPr>
            <w:tcW w:type="dxa" w:w="25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Tax advisor vertical pilot</w:t>
            </w:r>
          </w:p>
        </w:tc>
        <w:tc>
          <w:tcPr>
            <w:tcW w:type="dxa" w:w="170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Q1 2027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Multi-vertical expansion, TAM 10x validated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We're happy to provide monthly usage reports and schedule quarterly reviews to track progress against these milestones.</w:t>
      </w:r>
    </w:p>
    <w:p>
      <w:pPr>
        <w:pStyle w:val="Heading1"/>
      </w:pPr>
      <w:r>
        <w:rPr>
          <w:rFonts w:ascii="Calibri" w:hAnsi="Calibri"/>
          <w:color w:val="E8520A"/>
        </w:rPr>
        <w:t>12. Current Technical Readiness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Our staging environment is already running on OpenRouter EU infrastructure. We are not starting from zero — we are waiting for the legal gate to clear.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5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Germany pilot server (Hetzner Nuremberg)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Live — staging mode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OpenRouter EU endpoint configured (eu.openrouter.ai/api/v1)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Configured and tested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Multi-model routing + failover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Production-ready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Compliance controls (ZDR, no fallbacks, EU-only providers)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Configured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Voice agent (Clara) integration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Production-ready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Backend agent orchestration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Production-ready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Hetzner DPA/AVV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Signed and complete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OpenRouter DPA/AVV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Pending — this is the blocker</w:t>
            </w:r>
          </w:p>
        </w:tc>
      </w:tr>
      <w:tr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First customer pipeline</w:t>
            </w:r>
          </w:p>
        </w:tc>
        <w:tc>
          <w:tcPr>
            <w:tcW w:type="dxa" w:w="45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3–5 firms in late-stage sales</w:t>
            </w:r>
          </w:p>
        </w:tc>
      </w:tr>
    </w:tbl>
    <w:p>
      <w:pPr>
        <w:spacing w:before="80" w:after="80"/>
        <w:pBdr>
          <w:bottom w:val="single" w:sz="6" w:space="1" w:color="E8520A"/>
        </w:pBdr>
      </w:pPr>
    </w:p>
    <w:p>
      <w:pPr>
        <w:pStyle w:val="Heading2"/>
      </w:pPr>
      <w:r>
        <w:rPr>
          <w:rFonts w:ascii="Calibri" w:hAnsi="Calibri"/>
          <w:color w:val="E8520A"/>
        </w:rPr>
        <w:t>Contact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2"/>
        </w:rPr>
        <w:t>Remington Ramsay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20"/>
        </w:rPr>
        <w:t>CEO, sevenlayers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Vound Brand UG (haftungsbeschränkt)</w:t>
      </w:r>
    </w:p>
    <w:p>
      <w:pPr>
        <w:spacing w:after="40"/>
      </w:pPr>
      <w:r>
        <w:rPr>
          <w:rFonts w:ascii="Calibri" w:hAnsi="Calibri"/>
          <w:b w:val="0"/>
          <w:i w:val="0"/>
          <w:color w:val="E8520A"/>
          <w:sz w:val="20"/>
        </w:rPr>
        <w:t>remington@sevenlayers.com</w:t>
      </w:r>
    </w:p>
    <w:p>
      <w:pPr>
        <w:spacing w:after="240"/>
      </w:pPr>
      <w:r>
        <w:rPr>
          <w:rFonts w:ascii="Calibri" w:hAnsi="Calibri"/>
          <w:b w:val="0"/>
          <w:i w:val="0"/>
          <w:color w:val="E8520A"/>
          <w:sz w:val="20"/>
        </w:rPr>
        <w:t>sevenlayers.com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555555"/>
          <w:sz w:val="16"/>
        </w:rPr>
        <w:t>Confidential. Prepared for OpenRouter Enterprise Sales. March 2026.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852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852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