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e38ed88bb9fd99418fccdbd032c32dc491e3683"/>
    <w:p>
      <w:pPr>
        <w:pStyle w:val="Heading1"/>
      </w:pPr>
      <w:r>
        <w:t xml:space="preserve">Life Operator One-Agent Architecture Playbook</w:t>
      </w:r>
    </w:p>
    <w:p>
      <w:pPr>
        <w:pStyle w:val="FirstParagraph"/>
      </w:pPr>
      <w:r>
        <w:t xml:space="preserve">Version: 2026-02-25</w:t>
      </w:r>
      <w:r>
        <w:t xml:space="preserve"> </w:t>
      </w:r>
      <w:r>
        <w:t xml:space="preserve">Owner: Product + Runtime + Trust</w:t>
      </w:r>
      <w:r>
        <w:t xml:space="preserve"> </w:t>
      </w:r>
      <w:r>
        <w:t xml:space="preserve">Status: Active operating contract</w:t>
      </w:r>
    </w:p>
    <w:bookmarkStart w:id="9" w:name="why-this-exists"/>
    <w:p>
      <w:pPr>
        <w:pStyle w:val="Heading2"/>
      </w:pPr>
      <w:r>
        <w:t xml:space="preserve">Why This Exists</w:t>
      </w:r>
    </w:p>
    <w:p>
      <w:pPr>
        <w:pStyle w:val="FirstParagraph"/>
      </w:pPr>
      <w:r>
        <w:t xml:space="preserve">This document keeps us aligned on what we are building:</w:t>
      </w:r>
    </w:p>
    <w:p>
      <w:pPr>
        <w:pStyle w:val="Compact"/>
        <w:numPr>
          <w:ilvl w:val="0"/>
          <w:numId w:val="1001"/>
        </w:numPr>
      </w:pPr>
      <w:r>
        <w:t xml:space="preserve">One visible operator that the user interacts with.</w:t>
      </w:r>
    </w:p>
    <w:p>
      <w:pPr>
        <w:pStyle w:val="Compact"/>
        <w:numPr>
          <w:ilvl w:val="0"/>
          <w:numId w:val="1001"/>
        </w:numPr>
      </w:pPr>
      <w:r>
        <w:t xml:space="preserve">Hidden specialist depth routed by capability packs.</w:t>
      </w:r>
    </w:p>
    <w:p>
      <w:pPr>
        <w:pStyle w:val="Compact"/>
        <w:numPr>
          <w:ilvl w:val="0"/>
          <w:numId w:val="1001"/>
        </w:numPr>
      </w:pPr>
      <w:r>
        <w:t xml:space="preserve">Distinct behavior created by system layers, not by persona copy alone.</w:t>
      </w:r>
    </w:p>
    <w:p>
      <w:pPr>
        <w:pStyle w:val="FirstParagraph"/>
      </w:pPr>
      <w:r>
        <w:t xml:space="preserve">If a feature or roadmap item does not strengthen this architecture, it should be paused, reduced, or removed.</w:t>
      </w:r>
    </w:p>
    <w:bookmarkEnd w:id="9"/>
    <w:bookmarkStart w:id="10" w:name="product-thesis"/>
    <w:p>
      <w:pPr>
        <w:pStyle w:val="Heading2"/>
      </w:pPr>
      <w:r>
        <w:t xml:space="preserve">Product Thesis</w:t>
      </w:r>
    </w:p>
    <w:p>
      <w:pPr>
        <w:pStyle w:val="FirstParagraph"/>
      </w:pPr>
      <w:r>
        <w:t xml:space="preserve">We are not selling a catalog of many visible agents.</w:t>
      </w:r>
      <w:r>
        <w:t xml:space="preserve"> </w:t>
      </w:r>
      <w:r>
        <w:t xml:space="preserve">We are selling one user-owned Life Operator that compounds value over time.</w:t>
      </w:r>
    </w:p>
    <w:p>
      <w:pPr>
        <w:pStyle w:val="BodyText"/>
      </w:pPr>
      <w:r>
        <w:t xml:space="preserve">The architecture must make this true in runtime behavior, not just in messaging.</w:t>
      </w:r>
    </w:p>
    <w:bookmarkEnd w:id="10"/>
    <w:bookmarkStart w:id="12" w:name="architecture-formula"/>
    <w:p>
      <w:pPr>
        <w:pStyle w:val="Heading2"/>
      </w:pPr>
      <w:r>
        <w:t xml:space="preserve">Architecture Formula</w:t>
      </w:r>
    </w:p>
    <w:p>
      <w:pPr>
        <w:pStyle w:val="FirstParagraph"/>
      </w:pPr>
      <w:r>
        <w:t xml:space="preserve">Canonical formula:</w:t>
      </w:r>
    </w:p>
    <w:p>
      <w:pPr>
        <w:pStyle w:val="BodyText"/>
      </w:pPr>
      <w:r>
        <w:rPr>
          <w:rStyle w:val="VerbatimChar"/>
        </w:rPr>
        <w:t xml:space="preserve">distinct_behavior = prompt + memory + policy + tools + eval + trust</w:t>
      </w:r>
    </w:p>
    <w:bookmarkStart w:id="11" w:name="layer-meaning"/>
    <w:p>
      <w:pPr>
        <w:pStyle w:val="Heading3"/>
      </w:pPr>
      <w:r>
        <w:t xml:space="preserve">Layer meaning</w:t>
      </w:r>
    </w:p>
    <w:p>
      <w:pPr>
        <w:pStyle w:val="Compact"/>
        <w:numPr>
          <w:ilvl w:val="0"/>
          <w:numId w:val="1002"/>
        </w:numPr>
      </w:pPr>
      <w:r>
        <w:t xml:space="preserve">Prompt: instruction framing and response style.</w:t>
      </w:r>
    </w:p>
    <w:p>
      <w:pPr>
        <w:pStyle w:val="Compact"/>
        <w:numPr>
          <w:ilvl w:val="0"/>
          <w:numId w:val="1002"/>
        </w:numPr>
      </w:pPr>
      <w:r>
        <w:t xml:space="preserve">Memory: persistent user context and identity continuity.</w:t>
      </w:r>
    </w:p>
    <w:p>
      <w:pPr>
        <w:pStyle w:val="Compact"/>
        <w:numPr>
          <w:ilvl w:val="0"/>
          <w:numId w:val="1002"/>
        </w:numPr>
      </w:pPr>
      <w:r>
        <w:t xml:space="preserve">Policy: permission ladder, authority boundaries, fail-close rules.</w:t>
      </w:r>
    </w:p>
    <w:p>
      <w:pPr>
        <w:pStyle w:val="Compact"/>
        <w:numPr>
          <w:ilvl w:val="0"/>
          <w:numId w:val="1002"/>
        </w:numPr>
      </w:pPr>
      <w:r>
        <w:t xml:space="preserve">Tools: action surface, integrations, and execution boundaries.</w:t>
      </w:r>
    </w:p>
    <w:p>
      <w:pPr>
        <w:pStyle w:val="Compact"/>
        <w:numPr>
          <w:ilvl w:val="0"/>
          <w:numId w:val="1002"/>
        </w:numPr>
      </w:pPr>
      <w:r>
        <w:t xml:space="preserve">Eval: measurable quality and outcome loops.</w:t>
      </w:r>
    </w:p>
    <w:p>
      <w:pPr>
        <w:pStyle w:val="Compact"/>
        <w:numPr>
          <w:ilvl w:val="0"/>
          <w:numId w:val="1002"/>
        </w:numPr>
      </w:pPr>
      <w:r>
        <w:t xml:space="preserve">Trust: approvals, audit events, and rollback safety.</w:t>
      </w:r>
    </w:p>
    <w:bookmarkEnd w:id="11"/>
    <w:bookmarkEnd w:id="12"/>
    <w:bookmarkStart w:id="13" w:name="what-a-soul-means-in-this-system"/>
    <w:p>
      <w:pPr>
        <w:pStyle w:val="Heading2"/>
      </w:pPr>
      <w:r>
        <w:t xml:space="preserve">What a Soul Means in This System</w:t>
      </w:r>
    </w:p>
    <w:p>
      <w:pPr>
        <w:pStyle w:val="FirstParagraph"/>
      </w:pPr>
      <w:r>
        <w:t xml:space="preserve">A soul is not just a personality wrapper.</w:t>
      </w:r>
      <w:r>
        <w:t xml:space="preserve"> </w:t>
      </w:r>
      <w:r>
        <w:t xml:space="preserve">A soul is the behavioral package for an operator or specialist context.</w:t>
      </w:r>
    </w:p>
    <w:p>
      <w:pPr>
        <w:pStyle w:val="BodyText"/>
      </w:pPr>
      <w:r>
        <w:t xml:space="preserve">A soul is valid only when it has all layers:</w:t>
      </w:r>
    </w:p>
    <w:p>
      <w:pPr>
        <w:pStyle w:val="Compact"/>
        <w:numPr>
          <w:ilvl w:val="0"/>
          <w:numId w:val="1003"/>
        </w:numPr>
      </w:pPr>
      <w:r>
        <w:t xml:space="preserve">Prompt pattern</w:t>
      </w:r>
    </w:p>
    <w:p>
      <w:pPr>
        <w:pStyle w:val="Compact"/>
        <w:numPr>
          <w:ilvl w:val="0"/>
          <w:numId w:val="1003"/>
        </w:numPr>
      </w:pPr>
      <w:r>
        <w:t xml:space="preserve">Memory shape</w:t>
      </w:r>
    </w:p>
    <w:p>
      <w:pPr>
        <w:pStyle w:val="Compact"/>
        <w:numPr>
          <w:ilvl w:val="0"/>
          <w:numId w:val="1003"/>
        </w:numPr>
      </w:pPr>
      <w:r>
        <w:t xml:space="preserve">Policy envelope</w:t>
      </w:r>
    </w:p>
    <w:p>
      <w:pPr>
        <w:pStyle w:val="Compact"/>
        <w:numPr>
          <w:ilvl w:val="0"/>
          <w:numId w:val="1003"/>
        </w:numPr>
      </w:pPr>
      <w:r>
        <w:t xml:space="preserve">Tool scope</w:t>
      </w:r>
    </w:p>
    <w:p>
      <w:pPr>
        <w:pStyle w:val="Compact"/>
        <w:numPr>
          <w:ilvl w:val="0"/>
          <w:numId w:val="1003"/>
        </w:numPr>
      </w:pPr>
      <w:r>
        <w:t xml:space="preserve">Eval evidence</w:t>
      </w:r>
    </w:p>
    <w:p>
      <w:pPr>
        <w:pStyle w:val="Compact"/>
        <w:numPr>
          <w:ilvl w:val="0"/>
          <w:numId w:val="1003"/>
        </w:numPr>
      </w:pPr>
      <w:r>
        <w:t xml:space="preserve">Trust governance</w:t>
      </w:r>
    </w:p>
    <w:p>
      <w:pPr>
        <w:pStyle w:val="FirstParagraph"/>
      </w:pPr>
      <w:r>
        <w:t xml:space="preserve">If only prompt/persona exists, it is documentation flavor, not runtime differentiation.</w:t>
      </w:r>
    </w:p>
    <w:bookmarkEnd w:id="13"/>
    <w:bookmarkStart w:id="14" w:name="ux-contract"/>
    <w:p>
      <w:pPr>
        <w:pStyle w:val="Heading2"/>
      </w:pPr>
      <w:r>
        <w:t xml:space="preserve">UX Contract</w:t>
      </w:r>
    </w:p>
    <w:p>
      <w:pPr>
        <w:pStyle w:val="Compact"/>
        <w:numPr>
          <w:ilvl w:val="0"/>
          <w:numId w:val="1004"/>
        </w:numPr>
      </w:pPr>
      <w:r>
        <w:t xml:space="preserve">One visible operator by default.</w:t>
      </w:r>
    </w:p>
    <w:p>
      <w:pPr>
        <w:pStyle w:val="Compact"/>
        <w:numPr>
          <w:ilvl w:val="0"/>
          <w:numId w:val="1004"/>
        </w:numPr>
      </w:pPr>
      <w:r>
        <w:t xml:space="preserve">Hidden specialist routing by capability pack.</w:t>
      </w:r>
    </w:p>
    <w:p>
      <w:pPr>
        <w:pStyle w:val="Compact"/>
        <w:numPr>
          <w:ilvl w:val="0"/>
          <w:numId w:val="1004"/>
        </w:numPr>
      </w:pPr>
      <w:r>
        <w:t xml:space="preserve">Direct specialist exposure is optional and advanced.</w:t>
      </w:r>
    </w:p>
    <w:p>
      <w:pPr>
        <w:pStyle w:val="Compact"/>
        <w:numPr>
          <w:ilvl w:val="0"/>
          <w:numId w:val="1004"/>
        </w:numPr>
      </w:pPr>
      <w:r>
        <w:t xml:space="preserve">Any mutating action is policy-bound and trust-audited.</w:t>
      </w:r>
    </w:p>
    <w:bookmarkEnd w:id="14"/>
    <w:bookmarkStart w:id="16" w:name="capability-pack-model"/>
    <w:p>
      <w:pPr>
        <w:pStyle w:val="Heading2"/>
      </w:pPr>
      <w:r>
        <w:t xml:space="preserve">Capability Pack Model</w:t>
      </w:r>
    </w:p>
    <w:p>
      <w:pPr>
        <w:pStyle w:val="FirstParagraph"/>
      </w:pPr>
      <w:r>
        <w:t xml:space="preserve">Capability packs are the runtime decomposition of catalog breadth.</w:t>
      </w:r>
    </w:p>
    <w:p>
      <w:pPr>
        <w:pStyle w:val="BodyText"/>
      </w:pPr>
      <w:r>
        <w:t xml:space="preserve">Pack schema: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packId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userIntentTags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defaultHiddenSpecialists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requiredContext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toolChain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approvalProfile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suggest</w:t>
      </w:r>
      <w:r>
        <w:t xml:space="preserve">,</w:t>
      </w:r>
      <w:r>
        <w:t xml:space="preserve"> </w:t>
      </w:r>
      <w:r>
        <w:rPr>
          <w:rStyle w:val="VerbatimChar"/>
        </w:rPr>
        <w:t xml:space="preserve">ask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delegated_auto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full_auto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trustEvents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availabilityContract</w:t>
      </w:r>
      <w:r>
        <w:t xml:space="preserve"> </w:t>
      </w:r>
      <w:r>
        <w:t xml:space="preserve">(</w:t>
      </w:r>
      <w:r>
        <w:rPr>
          <w:rStyle w:val="VerbatimChar"/>
        </w:rPr>
        <w:t xml:space="preserve">available_now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demoHook</w:t>
      </w:r>
    </w:p>
    <w:bookmarkStart w:id="15" w:name="availability-behavior"/>
    <w:p>
      <w:pPr>
        <w:pStyle w:val="Heading3"/>
      </w:pPr>
      <w:r>
        <w:t xml:space="preserve">Availability behavior</w:t>
      </w:r>
    </w:p>
    <w:p>
      <w:pPr>
        <w:pStyle w:val="FirstParagraph"/>
      </w:pPr>
      <w:r>
        <w:t xml:space="preserve">Every pack must return one of: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available_now</w:t>
      </w:r>
      <w:r>
        <w:t xml:space="preserve">: can execute now.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blocked</w:t>
      </w:r>
      <w:r>
        <w:t xml:space="preserve">: cannot execute, with concrete unblocking steps.</w:t>
      </w:r>
    </w:p>
    <w:p>
      <w:pPr>
        <w:pStyle w:val="FirstParagraph"/>
      </w:pPr>
      <w:r>
        <w:t xml:space="preserve">No ambiguous state.</w:t>
      </w:r>
      <w:r>
        <w:t xml:space="preserve"> </w:t>
      </w:r>
      <w:r>
        <w:t xml:space="preserve">No hand-wavy suggestion.</w:t>
      </w:r>
    </w:p>
    <w:bookmarkEnd w:id="15"/>
    <w:bookmarkEnd w:id="16"/>
    <w:bookmarkStart w:id="18" w:name="founder-demo-set-first-wave"/>
    <w:p>
      <w:pPr>
        <w:pStyle w:val="Heading2"/>
      </w:pPr>
      <w:r>
        <w:t xml:space="preserve">Founder Demo Set (First Wave)</w:t>
      </w:r>
    </w:p>
    <w:p>
      <w:pPr>
        <w:pStyle w:val="Compact"/>
        <w:numPr>
          <w:ilvl w:val="0"/>
          <w:numId w:val="1007"/>
        </w:numPr>
      </w:pPr>
      <w:r>
        <w:t xml:space="preserve">Email agent and spam filter personal assistant.</w:t>
      </w:r>
    </w:p>
    <w:p>
      <w:pPr>
        <w:pStyle w:val="Compact"/>
        <w:numPr>
          <w:ilvl w:val="0"/>
          <w:numId w:val="1007"/>
        </w:numPr>
      </w:pPr>
      <w:r>
        <w:t xml:space="preserve">Work-with-me learning assistant in pocket and Meta glasses.</w:t>
      </w:r>
    </w:p>
    <w:p>
      <w:pPr>
        <w:pStyle w:val="Compact"/>
        <w:numPr>
          <w:ilvl w:val="0"/>
          <w:numId w:val="1007"/>
        </w:numPr>
      </w:pPr>
      <w:r>
        <w:t xml:space="preserve">Actionable business administration and proactive daily executive checkup.</w:t>
      </w:r>
    </w:p>
    <w:p>
      <w:pPr>
        <w:pStyle w:val="Compact"/>
        <w:numPr>
          <w:ilvl w:val="0"/>
          <w:numId w:val="1007"/>
        </w:numPr>
      </w:pPr>
      <w:r>
        <w:t xml:space="preserve">Todo and shopping list from Meta glasses and iPhone camera.</w:t>
      </w:r>
    </w:p>
    <w:p>
      <w:pPr>
        <w:pStyle w:val="Compact"/>
        <w:numPr>
          <w:ilvl w:val="0"/>
          <w:numId w:val="1007"/>
        </w:numPr>
      </w:pPr>
      <w:r>
        <w:t xml:space="preserve">Note taker.</w:t>
      </w:r>
    </w:p>
    <w:p>
      <w:pPr>
        <w:pStyle w:val="Compact"/>
        <w:numPr>
          <w:ilvl w:val="0"/>
          <w:numId w:val="1007"/>
        </w:numPr>
      </w:pPr>
      <w:r>
        <w:t xml:space="preserve">Vacation clone first-wave defense with escalation via chosen channel.</w:t>
      </w:r>
    </w:p>
    <w:bookmarkStart w:id="17" w:name="demo-design-rules"/>
    <w:p>
      <w:pPr>
        <w:pStyle w:val="Heading3"/>
      </w:pPr>
      <w:r>
        <w:t xml:space="preserve">Demo design rules</w:t>
      </w:r>
    </w:p>
    <w:p>
      <w:pPr>
        <w:pStyle w:val="Compact"/>
        <w:numPr>
          <w:ilvl w:val="0"/>
          <w:numId w:val="1008"/>
        </w:numPr>
      </w:pPr>
      <w:r>
        <w:t xml:space="preserve">Keep each demo under 7 minutes.</w:t>
      </w:r>
    </w:p>
    <w:p>
      <w:pPr>
        <w:pStyle w:val="Compact"/>
        <w:numPr>
          <w:ilvl w:val="0"/>
          <w:numId w:val="1008"/>
        </w:numPr>
      </w:pPr>
      <w:r>
        <w:t xml:space="preserve">Show one visible trust checkpoint for mutation-capable flows.</w:t>
      </w:r>
    </w:p>
    <w:p>
      <w:pPr>
        <w:pStyle w:val="Compact"/>
        <w:numPr>
          <w:ilvl w:val="0"/>
          <w:numId w:val="1008"/>
        </w:numPr>
      </w:pPr>
      <w:r>
        <w:t xml:space="preserve">Show one hidden-specialist delegation moment.</w:t>
      </w:r>
    </w:p>
    <w:p>
      <w:pPr>
        <w:pStyle w:val="Compact"/>
        <w:numPr>
          <w:ilvl w:val="0"/>
          <w:numId w:val="1008"/>
        </w:numPr>
      </w:pPr>
      <w:r>
        <w:t xml:space="preserve">End with concrete outcome and next action.</w:t>
      </w:r>
    </w:p>
    <w:bookmarkEnd w:id="17"/>
    <w:bookmarkEnd w:id="18"/>
    <w:bookmarkStart w:id="22" w:name="build-priorities"/>
    <w:p>
      <w:pPr>
        <w:pStyle w:val="Heading2"/>
      </w:pPr>
      <w:r>
        <w:t xml:space="preserve">Build Priorities</w:t>
      </w:r>
    </w:p>
    <w:bookmarkStart w:id="19" w:name="priority-a-runtime-truth"/>
    <w:p>
      <w:pPr>
        <w:pStyle w:val="Heading3"/>
      </w:pPr>
      <w:r>
        <w:t xml:space="preserve">Priority A: Runtime truth</w:t>
      </w:r>
    </w:p>
    <w:p>
      <w:pPr>
        <w:pStyle w:val="Compact"/>
        <w:numPr>
          <w:ilvl w:val="0"/>
          <w:numId w:val="1009"/>
        </w:numPr>
      </w:pPr>
      <w:r>
        <w:t xml:space="preserve">One-operator default path is always first class.</w:t>
      </w:r>
    </w:p>
    <w:p>
      <w:pPr>
        <w:pStyle w:val="Compact"/>
        <w:numPr>
          <w:ilvl w:val="0"/>
          <w:numId w:val="1009"/>
        </w:numPr>
      </w:pPr>
      <w:r>
        <w:t xml:space="preserve">Legacy marketplace paths fail closed by default.</w:t>
      </w:r>
    </w:p>
    <w:p>
      <w:pPr>
        <w:pStyle w:val="Compact"/>
        <w:numPr>
          <w:ilvl w:val="0"/>
          <w:numId w:val="1009"/>
        </w:numPr>
      </w:pPr>
      <w:r>
        <w:t xml:space="preserve">Capability gaps are explicit (</w:t>
      </w:r>
      <w:r>
        <w:rPr>
          <w:rStyle w:val="VerbatimChar"/>
        </w:rPr>
        <w:t xml:space="preserve">available_now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).</w:t>
      </w:r>
    </w:p>
    <w:bookmarkEnd w:id="19"/>
    <w:bookmarkStart w:id="20" w:name="priority-b-trust-and-safety"/>
    <w:p>
      <w:pPr>
        <w:pStyle w:val="Heading3"/>
      </w:pPr>
      <w:r>
        <w:t xml:space="preserve">Priority B: Trust and safety</w:t>
      </w:r>
    </w:p>
    <w:p>
      <w:pPr>
        <w:pStyle w:val="Compact"/>
        <w:numPr>
          <w:ilvl w:val="0"/>
          <w:numId w:val="1010"/>
        </w:numPr>
      </w:pPr>
      <w:r>
        <w:t xml:space="preserve">Approvals for risky mutations.</w:t>
      </w:r>
    </w:p>
    <w:p>
      <w:pPr>
        <w:pStyle w:val="Compact"/>
        <w:numPr>
          <w:ilvl w:val="0"/>
          <w:numId w:val="1010"/>
        </w:numPr>
      </w:pPr>
      <w:r>
        <w:t xml:space="preserve">Mandatory trust events for action traces.</w:t>
      </w:r>
    </w:p>
    <w:p>
      <w:pPr>
        <w:pStyle w:val="Compact"/>
        <w:numPr>
          <w:ilvl w:val="0"/>
          <w:numId w:val="1010"/>
        </w:numPr>
      </w:pPr>
      <w:r>
        <w:t xml:space="preserve">Clear rollback behavior.</w:t>
      </w:r>
    </w:p>
    <w:bookmarkEnd w:id="20"/>
    <w:bookmarkStart w:id="21" w:name="priority-c-demo-reliability"/>
    <w:p>
      <w:pPr>
        <w:pStyle w:val="Heading3"/>
      </w:pPr>
      <w:r>
        <w:t xml:space="preserve">Priority C: Demo reliability</w:t>
      </w:r>
    </w:p>
    <w:p>
      <w:pPr>
        <w:pStyle w:val="Compact"/>
        <w:numPr>
          <w:ilvl w:val="0"/>
          <w:numId w:val="1011"/>
        </w:numPr>
      </w:pPr>
      <w:r>
        <w:t xml:space="preserve">Stable scripts and deterministic outcomes.</w:t>
      </w:r>
    </w:p>
    <w:p>
      <w:pPr>
        <w:pStyle w:val="Compact"/>
        <w:numPr>
          <w:ilvl w:val="0"/>
          <w:numId w:val="1011"/>
        </w:numPr>
      </w:pPr>
      <w:r>
        <w:t xml:space="preserve">Rehearsal scorecard gates before customer demos.</w:t>
      </w:r>
    </w:p>
    <w:bookmarkEnd w:id="21"/>
    <w:bookmarkEnd w:id="22"/>
    <w:bookmarkStart w:id="23" w:name="anti-patterns-do-not-reintroduce"/>
    <w:p>
      <w:pPr>
        <w:pStyle w:val="Heading2"/>
      </w:pPr>
      <w:r>
        <w:t xml:space="preserve">Anti-Patterns (Do Not Reintroduce)</w:t>
      </w:r>
    </w:p>
    <w:p>
      <w:pPr>
        <w:pStyle w:val="Compact"/>
        <w:numPr>
          <w:ilvl w:val="0"/>
          <w:numId w:val="1012"/>
        </w:numPr>
      </w:pPr>
      <w:r>
        <w:t xml:space="preserve">Exposing many visible agents as default UX.</w:t>
      </w:r>
    </w:p>
    <w:p>
      <w:pPr>
        <w:pStyle w:val="Compact"/>
        <w:numPr>
          <w:ilvl w:val="0"/>
          <w:numId w:val="1012"/>
        </w:numPr>
      </w:pPr>
      <w:r>
        <w:t xml:space="preserve">Claiming differentiation from persona text only.</w:t>
      </w:r>
    </w:p>
    <w:p>
      <w:pPr>
        <w:pStyle w:val="Compact"/>
        <w:numPr>
          <w:ilvl w:val="0"/>
          <w:numId w:val="1012"/>
        </w:numPr>
      </w:pPr>
      <w:r>
        <w:t xml:space="preserve">Silent auto-actions without trust evidence.</w:t>
      </w:r>
    </w:p>
    <w:p>
      <w:pPr>
        <w:pStyle w:val="Compact"/>
        <w:numPr>
          <w:ilvl w:val="0"/>
          <w:numId w:val="1012"/>
        </w:numPr>
      </w:pPr>
      <w:r>
        <w:t xml:space="preserve">“Maybe available”</w:t>
      </w:r>
      <w:r>
        <w:t xml:space="preserve"> </w:t>
      </w:r>
      <w:r>
        <w:t xml:space="preserve">capability responses without unblocking steps.</w:t>
      </w:r>
    </w:p>
    <w:p>
      <w:pPr>
        <w:pStyle w:val="Compact"/>
        <w:numPr>
          <w:ilvl w:val="0"/>
          <w:numId w:val="1012"/>
        </w:numPr>
      </w:pPr>
      <w:r>
        <w:t xml:space="preserve">Demo stories without measurable outputs.</w:t>
      </w:r>
    </w:p>
    <w:bookmarkEnd w:id="23"/>
    <w:bookmarkStart w:id="24" w:name="decision-filter"/>
    <w:p>
      <w:pPr>
        <w:pStyle w:val="Heading2"/>
      </w:pPr>
      <w:r>
        <w:t xml:space="preserve">Decision Filter</w:t>
      </w:r>
    </w:p>
    <w:p>
      <w:pPr>
        <w:pStyle w:val="FirstParagraph"/>
      </w:pPr>
      <w:r>
        <w:t xml:space="preserve">Use this filter for roadmap and implementation decisions:</w:t>
      </w:r>
    </w:p>
    <w:p>
      <w:pPr>
        <w:pStyle w:val="Compact"/>
        <w:numPr>
          <w:ilvl w:val="0"/>
          <w:numId w:val="1013"/>
        </w:numPr>
      </w:pPr>
      <w:r>
        <w:t xml:space="preserve">Does it improve one visible operator utility?</w:t>
      </w:r>
    </w:p>
    <w:p>
      <w:pPr>
        <w:pStyle w:val="Compact"/>
        <w:numPr>
          <w:ilvl w:val="0"/>
          <w:numId w:val="1013"/>
        </w:numPr>
      </w:pPr>
      <w:r>
        <w:t xml:space="preserve">Does it improve one of the six behavior layers?</w:t>
      </w:r>
    </w:p>
    <w:p>
      <w:pPr>
        <w:pStyle w:val="Compact"/>
        <w:numPr>
          <w:ilvl w:val="0"/>
          <w:numId w:val="1013"/>
        </w:numPr>
      </w:pPr>
      <w:r>
        <w:t xml:space="preserve">Does it preserve trust and auditability?</w:t>
      </w:r>
    </w:p>
    <w:p>
      <w:pPr>
        <w:pStyle w:val="Compact"/>
        <w:numPr>
          <w:ilvl w:val="0"/>
          <w:numId w:val="1013"/>
        </w:numPr>
      </w:pPr>
      <w:r>
        <w:t xml:space="preserve">Does it improve</w:t>
      </w:r>
      <w:r>
        <w:t xml:space="preserve"> </w:t>
      </w:r>
      <w:r>
        <w:rPr>
          <w:rStyle w:val="VerbatimChar"/>
        </w:rPr>
        <w:t xml:space="preserve">available_now</w:t>
      </w:r>
      <w:r>
        <w:t xml:space="preserve"> </w:t>
      </w:r>
      <w:r>
        <w:t xml:space="preserve">execution quality or blocked-path clarity?</w:t>
      </w:r>
    </w:p>
    <w:p>
      <w:pPr>
        <w:pStyle w:val="Compact"/>
        <w:numPr>
          <w:ilvl w:val="0"/>
          <w:numId w:val="1013"/>
        </w:numPr>
      </w:pPr>
      <w:r>
        <w:t xml:space="preserve">Can it be demonstrated in under 7 minutes with measurable outcome?</w:t>
      </w:r>
    </w:p>
    <w:p>
      <w:pPr>
        <w:pStyle w:val="FirstParagraph"/>
      </w:pPr>
      <w:r>
        <w:t xml:space="preserve">If the answer is mostly no, do not prioritize it now.</w:t>
      </w:r>
    </w:p>
    <w:bookmarkEnd w:id="24"/>
    <w:bookmarkStart w:id="25" w:name="execution-checklist"/>
    <w:p>
      <w:pPr>
        <w:pStyle w:val="Heading2"/>
      </w:pPr>
      <w:r>
        <w:t xml:space="preserve">Execution Checklist</w:t>
      </w:r>
    </w:p>
    <w:p>
      <w:pPr>
        <w:pStyle w:val="FirstParagraph"/>
      </w:pPr>
      <w:r>
        <w:t xml:space="preserve">Before marking work complete:</w:t>
      </w:r>
    </w:p>
    <w:p>
      <w:pPr>
        <w:pStyle w:val="Compact"/>
        <w:numPr>
          <w:ilvl w:val="0"/>
          <w:numId w:val="1014"/>
        </w:numPr>
      </w:pPr>
      <w:r>
        <w:t xml:space="preserve">Layer impact declared (prompt/memory/policy/tools/eval/trust).</w:t>
      </w:r>
    </w:p>
    <w:p>
      <w:pPr>
        <w:pStyle w:val="Compact"/>
        <w:numPr>
          <w:ilvl w:val="0"/>
          <w:numId w:val="1014"/>
        </w:numPr>
      </w:pPr>
      <w:r>
        <w:t xml:space="preserve">File anchors linked.</w:t>
      </w:r>
    </w:p>
    <w:p>
      <w:pPr>
        <w:pStyle w:val="Compact"/>
        <w:numPr>
          <w:ilvl w:val="0"/>
          <w:numId w:val="1014"/>
        </w:numPr>
      </w:pPr>
      <w:r>
        <w:t xml:space="preserve">Verification commands run.</w:t>
      </w:r>
    </w:p>
    <w:p>
      <w:pPr>
        <w:pStyle w:val="Compact"/>
        <w:numPr>
          <w:ilvl w:val="0"/>
          <w:numId w:val="1014"/>
        </w:numPr>
      </w:pPr>
      <w:r>
        <w:t xml:space="preserve">Queue artifacts synchronized.</w:t>
      </w:r>
    </w:p>
    <w:p>
      <w:pPr>
        <w:pStyle w:val="Compact"/>
        <w:numPr>
          <w:ilvl w:val="0"/>
          <w:numId w:val="1014"/>
        </w:numPr>
      </w:pPr>
      <w:r>
        <w:t xml:space="preserve">Demo implications captured (if customer-facing).</w:t>
      </w:r>
    </w:p>
    <w:bookmarkEnd w:id="25"/>
    <w:bookmarkStart w:id="26" w:name="metrics-that-matter"/>
    <w:p>
      <w:pPr>
        <w:pStyle w:val="Heading2"/>
      </w:pPr>
      <w:r>
        <w:t xml:space="preserve">Metrics That Matter</w:t>
      </w:r>
    </w:p>
    <w:p>
      <w:pPr>
        <w:pStyle w:val="Compact"/>
        <w:numPr>
          <w:ilvl w:val="0"/>
          <w:numId w:val="1015"/>
        </w:numPr>
      </w:pPr>
      <w:r>
        <w:t xml:space="preserve">Task completion rate for one-operator workflows.</w:t>
      </w:r>
    </w:p>
    <w:p>
      <w:pPr>
        <w:pStyle w:val="Compact"/>
        <w:numPr>
          <w:ilvl w:val="0"/>
          <w:numId w:val="1015"/>
        </w:numPr>
      </w:pPr>
      <w:r>
        <w:t xml:space="preserve">Approval coverage on mutating actions.</w:t>
      </w:r>
    </w:p>
    <w:p>
      <w:pPr>
        <w:pStyle w:val="Compact"/>
        <w:numPr>
          <w:ilvl w:val="0"/>
          <w:numId w:val="1015"/>
        </w:numPr>
      </w:pPr>
      <w:r>
        <w:t xml:space="preserve">Trust event completeness for risky operations.</w:t>
      </w:r>
    </w:p>
    <w:p>
      <w:pPr>
        <w:pStyle w:val="Compact"/>
        <w:numPr>
          <w:ilvl w:val="0"/>
          <w:numId w:val="1015"/>
        </w:numPr>
      </w:pPr>
      <w:r>
        <w:t xml:space="preserve">Time to first actionable plan.</w:t>
      </w:r>
    </w:p>
    <w:p>
      <w:pPr>
        <w:pStyle w:val="Compact"/>
        <w:numPr>
          <w:ilvl w:val="0"/>
          <w:numId w:val="1015"/>
        </w:numPr>
      </w:pPr>
      <w:r>
        <w:t xml:space="preserve">Blocked-response clarity rate (with concrete unblocking guidance).</w:t>
      </w:r>
    </w:p>
    <w:p>
      <w:pPr>
        <w:pStyle w:val="Compact"/>
        <w:numPr>
          <w:ilvl w:val="0"/>
          <w:numId w:val="1015"/>
        </w:numPr>
      </w:pPr>
      <w:r>
        <w:t xml:space="preserve">Demo pass rate across all six founder scenarios.</w:t>
      </w:r>
    </w:p>
    <w:bookmarkEnd w:id="26"/>
    <w:bookmarkStart w:id="27" w:name="closing-principle"/>
    <w:p>
      <w:pPr>
        <w:pStyle w:val="Heading2"/>
      </w:pPr>
      <w:r>
        <w:t xml:space="preserve">Closing Principle</w:t>
      </w:r>
    </w:p>
    <w:p>
      <w:pPr>
        <w:pStyle w:val="FirstParagraph"/>
      </w:pPr>
      <w:r>
        <w:t xml:space="preserve">Knowledge is abundant in base models.</w:t>
      </w:r>
      <w:r>
        <w:t xml:space="preserve"> </w:t>
      </w:r>
      <w:r>
        <w:t xml:space="preserve">Product advantage comes from controlled behavior, trustable action, and compounding user-specific utility.</w:t>
      </w:r>
    </w:p>
    <w:p>
      <w:pPr>
        <w:pStyle w:val="BodyText"/>
      </w:pPr>
      <w:r>
        <w:t xml:space="preserve">That is what we are building.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2026-02-25T23:02:26Z</dcterms:created>
  <dcterms:modified xsi:type="dcterms:W3CDTF">2026-02-25T23:02:26Z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