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600" w:after="0"/>
      </w:pPr>
    </w:p>
    <w:p>
      <w:pPr>
        <w:spacing w:before="0" w:after="40"/>
      </w:pPr>
      <w:r>
        <w:rPr>
          <w:rFonts w:ascii="Arial" w:cs="Arial" w:eastAsia="Arial" w:hAnsi="Arial"/>
          <w:b/>
          <w:bCs/>
          <w:color w:val="2E75B6"/>
          <w:spacing w:val="200"/>
          <w:sz w:val="20"/>
          <w:szCs w:val="20"/>
        </w:rPr>
        <w:t xml:space="preserve">SEVEN LAYERS</w:t>
      </w:r>
    </w:p>
    <w:p>
      <w:pPr>
        <w:pBdr>
          <w:bottom w:val="single" w:color="2E75B6" w:sz="6" w:space="12"/>
        </w:pBdr>
        <w:spacing w:before="0" w:after="120"/>
      </w:pPr>
      <w:r>
        <w:rPr>
          <w:rFonts w:ascii="Arial" w:cs="Arial" w:eastAsia="Arial" w:hAnsi="Arial"/>
          <w:b/>
          <w:bCs/>
          <w:color w:val="1B3A5C"/>
          <w:sz w:val="40"/>
          <w:szCs w:val="40"/>
        </w:rPr>
        <w:t xml:space="preserve">Document 02: Lead Generation Engine</w:t>
      </w:r>
    </w:p>
    <w:p>
      <w:pPr>
        <w:spacing w:before="120" w:after="80"/>
      </w:pPr>
      <w:r>
        <w:rPr>
          <w:rFonts w:ascii="Arial" w:cs="Arial" w:eastAsia="Arial" w:hAnsi="Arial"/>
          <w:color w:val="666666"/>
          <w:sz w:val="18"/>
          <w:szCs w:val="18"/>
        </w:rPr>
        <w:t xml:space="preserve">One-of-One Strategy v2  |  2026-03-03  |  Internal — Founder’s Eyes Only</w:t>
      </w:r>
    </w:p>
    <w:p>
      <w:pPr>
        <w:spacing w:before="0" w:after="200"/>
      </w:pPr>
    </w:p>
    <w:p>
      <w:pPr>
        <w:spacing w:before="20" w:after="20"/>
      </w:pPr>
      <w:r>
        <w:rPr>
          <w:rFonts w:ascii="Arial" w:cs="Arial" w:eastAsia="Arial" w:hAnsi="Arial"/>
          <w:b/>
          <w:bCs/>
          <w:color w:val="666666"/>
          <w:sz w:val="20"/>
          <w:szCs w:val="20"/>
        </w:rPr>
        <w:t xml:space="preserve">Seven Layers | One-of-One Strategy v2</w:t>
      </w:r>
    </w:p>
    <w:p>
      <w:pPr>
        <w:spacing w:before="20" w:after="20"/>
      </w:pPr>
      <w:r>
        <w:rPr>
          <w:rFonts w:ascii="Arial" w:cs="Arial" w:eastAsia="Arial" w:hAnsi="Arial"/>
          <w:b/>
          <w:bCs/>
          <w:color w:val="666666"/>
          <w:sz w:val="20"/>
          <w:szCs w:val="20"/>
        </w:rPr>
        <w:t xml:space="preserve">Date:</w:t>
      </w:r>
      <w:r>
        <w:rPr>
          <w:rFonts w:ascii="Arial" w:cs="Arial" w:eastAsia="Arial" w:hAnsi="Arial"/>
          <w:color w:val="666666"/>
          <w:sz w:val="20"/>
          <w:szCs w:val="20"/>
        </w:rPr>
        <w:t xml:space="preserve"> 2026-03-03</w:t>
      </w:r>
    </w:p>
    <w:p>
      <w:pPr>
        <w:spacing w:before="20" w:after="20"/>
      </w:pPr>
      <w:r>
        <w:rPr>
          <w:rFonts w:ascii="Arial" w:cs="Arial" w:eastAsia="Arial" w:hAnsi="Arial"/>
          <w:b/>
          <w:bCs/>
          <w:color w:val="666666"/>
          <w:sz w:val="20"/>
          <w:szCs w:val="20"/>
        </w:rPr>
        <w:t xml:space="preserve">Classification:</w:t>
      </w:r>
      <w:r>
        <w:rPr>
          <w:rFonts w:ascii="Arial" w:cs="Arial" w:eastAsia="Arial" w:hAnsi="Arial"/>
          <w:color w:val="666666"/>
          <w:sz w:val="20"/>
          <w:szCs w:val="20"/>
        </w:rPr>
        <w:t xml:space="preserve"> Internal — Founder's Eyes Only</w:t>
      </w:r>
    </w:p>
    <w:p>
      <w:pPr>
        <w:pStyle w:val="Heading1"/>
        <w:pBdr>
          <w:bottom w:val="single" w:color="2E75B6" w:sz="4" w:space="8"/>
        </w:pBdr>
        <w:spacing w:before="360" w:after="200"/>
      </w:pPr>
      <w:r>
        <w:rPr>
          <w:rFonts w:ascii="Arial" w:cs="Arial" w:eastAsia="Arial" w:hAnsi="Arial"/>
          <w:b/>
          <w:bCs/>
          <w:color w:val="1B3A5C"/>
          <w:sz w:val="30"/>
          <w:szCs w:val="30"/>
        </w:rPr>
        <w:t xml:space="preserve">The Core Insight</w:t>
      </w:r>
    </w:p>
    <w:p>
      <w:pPr>
        <w:spacing w:before="80" w:after="80" w:line="32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The lead magnet is not a PDF. It's not a video course. It's not a beta code. </w:t>
      </w: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The lead magnet is a live AI agent that creates a personalized deliverable for the customer on the fly.</w:t>
      </w:r>
    </w:p>
    <w:p>
      <w:pPr>
        <w:spacing w:before="80" w:after="80" w:line="32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This is the single biggest advantage Seven Layers has over every competitor. Nobody else can do this. The prospect doesn't download something — they experience something. And the experience is so good it creates the desire to buy.</w:t>
      </w:r>
    </w:p>
    <w:p>
      <w:pPr>
        <w:pStyle w:val="Heading1"/>
        <w:pBdr>
          <w:bottom w:val="single" w:color="2E75B6" w:sz="4" w:space="8"/>
        </w:pBdr>
        <w:spacing w:before="360" w:after="200"/>
      </w:pPr>
      <w:r>
        <w:rPr>
          <w:rFonts w:ascii="Arial" w:cs="Arial" w:eastAsia="Arial" w:hAnsi="Arial"/>
          <w:b/>
          <w:bCs/>
          <w:color w:val="1B3A5C"/>
          <w:sz w:val="30"/>
          <w:szCs w:val="30"/>
        </w:rPr>
        <w:t xml:space="preserve">Two Parallel Paths</w:t>
      </w:r>
    </w:p>
    <w:p>
      <w:pPr>
        <w:spacing w:before="80" w:after="80" w:line="32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The landing page offers two parallel entry points. Both are always visible. Neither is hidden behind the other.</w:t>
      </w: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Path A: The AI Diagnostic (Samantha)</w:t>
      </w:r>
    </w:p>
    <w:p>
      <w:pPr>
        <w:spacing w:before="12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Attribute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Detail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What it is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An embedded AI agent on the landing page that runs a 7-minute diagnostic audit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How it works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Samantha asks 5 questions about their business, analyzes answers in real-time, delivers a specific highest-leverage workflow recommendation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What the customer gets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A personalized, actionable recommendation — not generic advice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What we get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A qualified lead with deep context about their business, pain points, and readiness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Time to value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7 minutes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COGS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~€0.15–0.30 per session</w:t>
            </w:r>
          </w:p>
        </w:tc>
      </w:tr>
    </w:tbl>
    <w:p>
      <w:pPr>
        <w:spacing w:before="0" w:after="120"/>
      </w:pPr>
    </w:p>
    <w:p>
      <w:pPr>
        <w:spacing w:before="80" w:after="80" w:line="320"/>
      </w:pP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The 5 Questions (Diagnostic Flow):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What does your business do? (Industry, service, size)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What's your biggest operational bottleneck right now? (Pain identification)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How do you currently handle [the bottleneck]? (Current solution / workaround)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What would solving this be worth to you — in time or money? (Value quantification)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What have you already tried? (Sophistication level + objection pre-handling)</w:t>
      </w:r>
    </w:p>
    <w:p>
      <w:pPr>
        <w:spacing w:before="80" w:after="80" w:line="32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After 5 answers, Samantha delivers a specific workflow recommendation: "Based on what you've told me, your highest-leverage workflow is [X]. Here's how it would work..."</w:t>
      </w:r>
    </w:p>
    <w:p>
      <w:pPr>
        <w:spacing w:before="80" w:after="80" w:line="320"/>
      </w:pP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Why this works better than a discovery call: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No scheduling friction. Available 24/7.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The prospect controls the pace.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The AI remembers everything — no repeating yourself later.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It's the product demonstrating itself. The lead magnet IS the product.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The landing page copy says it directly: "Why not a discovery call? You've sat through enough... The operator you just talked to IS the discovery."</w:t>
      </w: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Path B: Book a Live Demo</w:t>
      </w:r>
    </w:p>
    <w:p>
      <w:pPr>
        <w:spacing w:before="12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Attribute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Detail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What it is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A prominent CTA button linking directly to Remington's calendar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Who it's for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Serious buyers who want to skip the funnel and talk to a human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What happens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30-minute founder-led demo. Live birthing or Meta Glasses demo depending on context.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Why it exists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Not everyone wants to chat with AI first. Some people want to see the founder, ask questions, and feel the human behind the product.</w:t>
            </w:r>
          </w:p>
        </w:tc>
      </w:tr>
    </w:tbl>
    <w:p>
      <w:pPr>
        <w:spacing w:before="0" w:after="120"/>
      </w:pPr>
    </w:p>
    <w:p>
      <w:pPr>
        <w:spacing w:before="80" w:after="80" w:line="320"/>
      </w:pP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Placement:</w:t>
      </w:r>
      <w:r>
        <w:rPr>
          <w:rFonts w:ascii="Arial" w:cs="Arial" w:eastAsia="Arial" w:hAnsi="Arial"/>
          <w:color w:val="2D2D2D"/>
          <w:sz w:val="22"/>
          <w:szCs w:val="22"/>
        </w:rPr>
        <w:t xml:space="preserve"> Side by side with the diagnostic. Not buried. Not secondary. Both paths are equal citizens on the page.</w:t>
      </w:r>
    </w:p>
    <w:p>
      <w:pPr>
        <w:pStyle w:val="Heading1"/>
        <w:pBdr>
          <w:bottom w:val="single" w:color="2E75B6" w:sz="4" w:space="8"/>
        </w:pBdr>
        <w:spacing w:before="360" w:after="200"/>
      </w:pPr>
      <w:r>
        <w:rPr>
          <w:rFonts w:ascii="Arial" w:cs="Arial" w:eastAsia="Arial" w:hAnsi="Arial"/>
          <w:b/>
          <w:bCs/>
          <w:color w:val="1B3A5C"/>
          <w:sz w:val="30"/>
          <w:szCs w:val="30"/>
        </w:rPr>
        <w:t xml:space="preserve">The Funnel: Diagnostic to Close</w:t>
      </w:r>
    </w:p>
    <w:p>
      <w:pPr>
        <w:shd w:fill="F5F5F5" w:val="clear"/>
        <w:spacing w:before="120" w:after="0" w:line="276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Landing Page Visit</w:t>
      </w:r>
    </w:p>
    <w:p>
      <w:pPr>
        <w:shd w:fill="F5F5F5" w:val="clear"/>
        <w:spacing w:before="0" w:after="0" w:line="276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├── Path A: AI Diagnostic (7 min)</w:t>
      </w:r>
    </w:p>
    <w:p>
      <w:pPr>
        <w:shd w:fill="F5F5F5" w:val="clear"/>
        <w:spacing w:before="0" w:after="0" w:line="276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│   ├── Completes diagnostic → sees recommendation</w:t>
      </w:r>
    </w:p>
    <w:p>
      <w:pPr>
        <w:shd w:fill="F5F5F5" w:val="clear"/>
        <w:spacing w:before="0" w:after="0" w:line="276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│   │   ├── Clicks CTA → enters platform / books call</w:t>
      </w:r>
    </w:p>
    <w:p>
      <w:pPr>
        <w:shd w:fill="F5F5F5" w:val="clear"/>
        <w:spacing w:before="0" w:after="0" w:line="276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│   │   └── Leaves → retargeting (email if captured, otherwise gone)</w:t>
      </w:r>
    </w:p>
    <w:p>
      <w:pPr>
        <w:shd w:fill="F5F5F5" w:val="clear"/>
        <w:spacing w:before="0" w:after="0" w:line="276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│   └── Abandons mid-diagnostic → partial lead (session data captured)</w:t>
      </w:r>
    </w:p>
    <w:p>
      <w:pPr>
        <w:shd w:fill="F5F5F5" w:val="clear"/>
        <w:spacing w:before="0" w:after="0" w:line="276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│</w:t>
      </w:r>
    </w:p>
    <w:p>
      <w:pPr>
        <w:shd w:fill="F5F5F5" w:val="clear"/>
        <w:spacing w:before="0" w:after="0" w:line="276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└── Path B: Book a Live Demo</w:t>
      </w:r>
    </w:p>
    <w:p>
      <w:pPr>
        <w:shd w:fill="F5F5F5" w:val="clear"/>
        <w:spacing w:before="0" w:after="0" w:line="276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    └── Calendar booking → 30-min founder demo</w:t>
      </w:r>
    </w:p>
    <w:p>
      <w:pPr>
        <w:shd w:fill="F5F5F5" w:val="clear"/>
        <w:spacing w:before="0" w:after="0" w:line="276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        ├── Interested → beta code / 7-day trial</w:t>
      </w:r>
    </w:p>
    <w:p>
      <w:pPr>
        <w:shd w:fill="F5F5F5" w:val="clear"/>
        <w:spacing w:before="0" w:after="0" w:line="276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        └── Not ready → nurture sequence</w:t>
      </w:r>
    </w:p>
    <w:p>
      <w:pPr>
        <w:shd w:fill="F5F5F5" w:val="clear"/>
        <w:spacing w:before="0" w:after="0" w:line="276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</w:t>
      </w:r>
    </w:p>
    <w:p>
      <w:pPr>
        <w:shd w:fill="F5F5F5" w:val="clear"/>
        <w:spacing w:before="0" w:after="0" w:line="276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After Diagnostic or Demo:</w:t>
      </w:r>
    </w:p>
    <w:p>
      <w:pPr>
        <w:shd w:fill="F5F5F5" w:val="clear"/>
        <w:spacing w:before="0" w:after="0" w:line="276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→ Beta code / 7-day trial (AI continues learning their business)</w:t>
      </w:r>
    </w:p>
    <w:p>
      <w:pPr>
        <w:shd w:fill="F5F5F5" w:val="clear"/>
        <w:spacing w:before="0" w:after="0" w:line="276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→ Day 3: curiosity check-in ("Your agent learned X about your business. What do you think?")</w:t>
      </w:r>
    </w:p>
    <w:p>
      <w:pPr>
        <w:shd w:fill="F5F5F5" w:val="clear"/>
        <w:spacing w:before="0" w:after="0" w:line="276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→ Day 7: founder-led close call ("Your 7-day access ends today. Want to keep what it learned?")</w:t>
      </w:r>
    </w:p>
    <w:p>
      <w:pPr>
        <w:shd w:fill="F5F5F5" w:val="clear"/>
        <w:spacing w:before="0" w:after="120" w:line="276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→ Close: Foundation (€7K) or Consulting Sprint (€3.5K) if they need more time</w:t>
      </w:r>
    </w:p>
    <w:p>
      <w:pPr>
        <w:pStyle w:val="Heading1"/>
        <w:pBdr>
          <w:bottom w:val="single" w:color="2E75B6" w:sz="4" w:space="8"/>
        </w:pBdr>
        <w:spacing w:before="360" w:after="200"/>
      </w:pPr>
      <w:r>
        <w:rPr>
          <w:rFonts w:ascii="Arial" w:cs="Arial" w:eastAsia="Arial" w:hAnsi="Arial"/>
          <w:b/>
          <w:bCs/>
          <w:color w:val="1B3A5C"/>
          <w:sz w:val="30"/>
          <w:szCs w:val="30"/>
        </w:rPr>
        <w:t xml:space="preserve">Lead Qualification (Automatic)</w:t>
      </w:r>
    </w:p>
    <w:p>
      <w:pPr>
        <w:spacing w:before="80" w:after="80" w:line="32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The diagnostic naturally qualifies leads by what they reveal:</w:t>
      </w:r>
    </w:p>
    <w:p>
      <w:pPr>
        <w:spacing w:before="12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Signal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Qualification Level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Next Action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Revenue €1.8M+ mentioned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High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Priority follow-up, demo offer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Multiple pain points, high value quantification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High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Foundation pitch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Single pain point, moderate value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Consulting sprint offer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"Just curious" / no clear pain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Low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Nurture email, no active pursuit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Asks about pricing during diagnostic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Hot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Immediate human handoff</w:t>
            </w:r>
          </w:p>
        </w:tc>
      </w:tr>
    </w:tbl>
    <w:p>
      <w:pPr>
        <w:spacing w:before="0" w:after="120"/>
      </w:pPr>
    </w:p>
    <w:p>
      <w:pPr>
        <w:spacing w:before="80" w:after="80" w:line="32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Samantha captures all of this in the session. By the time Remington gets on a call, he knows everything the prospect said.</w:t>
      </w:r>
    </w:p>
    <w:p>
      <w:pPr>
        <w:pStyle w:val="Heading1"/>
        <w:pBdr>
          <w:bottom w:val="single" w:color="2E75B6" w:sz="4" w:space="8"/>
        </w:pBdr>
        <w:spacing w:before="360" w:after="200"/>
      </w:pPr>
      <w:r>
        <w:rPr>
          <w:rFonts w:ascii="Arial" w:cs="Arial" w:eastAsia="Arial" w:hAnsi="Arial"/>
          <w:b/>
          <w:bCs/>
          <w:color w:val="1B3A5C"/>
          <w:sz w:val="30"/>
          <w:szCs w:val="30"/>
        </w:rPr>
        <w:t xml:space="preserve">Lead Capture Mechanics</w:t>
      </w:r>
    </w:p>
    <w:p>
      <w:pPr>
        <w:spacing w:before="80" w:after="80" w:line="32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The diagnostic captures leads through progressive disclosure: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Session start:</w:t>
      </w:r>
      <w:r>
        <w:rPr>
          <w:rFonts w:ascii="Arial" w:cs="Arial" w:eastAsia="Arial" w:hAnsi="Arial"/>
          <w:color w:val="2D2D2D"/>
          <w:sz w:val="22"/>
          <w:szCs w:val="22"/>
        </w:rPr>
        <w:t xml:space="preserve"> Anonymous. No email required. Just start chatting.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After question 3:</w:t>
      </w:r>
      <w:r>
        <w:rPr>
          <w:rFonts w:ascii="Arial" w:cs="Arial" w:eastAsia="Arial" w:hAnsi="Arial"/>
          <w:color w:val="2D2D2D"/>
          <w:sz w:val="22"/>
          <w:szCs w:val="22"/>
        </w:rPr>
        <w:t xml:space="preserve"> Samantha naturally asks for a name (conversational, not a form).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After recommendation:</w:t>
      </w:r>
      <w:r>
        <w:rPr>
          <w:rFonts w:ascii="Arial" w:cs="Arial" w:eastAsia="Arial" w:hAnsi="Arial"/>
          <w:color w:val="2D2D2D"/>
          <w:sz w:val="22"/>
          <w:szCs w:val="22"/>
        </w:rPr>
        <w:t xml:space="preserve"> CTA to "continue with your operator" — requires email/Google sign-in.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Handoff links:</w:t>
      </w:r>
      <w:r>
        <w:rPr>
          <w:rFonts w:ascii="Arial" w:cs="Arial" w:eastAsia="Arial" w:hAnsi="Arial"/>
          <w:color w:val="2D2D2D"/>
          <w:sz w:val="22"/>
          <w:szCs w:val="22"/>
        </w:rPr>
        <w:t xml:space="preserve"> Three options presented after diagnostic: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"Continue the conversation" (resume chat in the platform)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"Consulting sprint — scope only" (€3,500 entry)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"Full implementation" (from €7,000 Foundation)</w:t>
      </w:r>
    </w:p>
    <w:p>
      <w:pPr>
        <w:spacing w:before="80" w:after="80" w:line="32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The handoff system is already built. See </w:t>
      </w:r>
      <w:r>
        <w:rPr>
          <w:rFonts w:ascii="Arial" w:cs="Arial" w:eastAsia="Arial" w:hAnsi="Arial"/>
          <w:color w:val="2E75B6"/>
          <w:sz w:val="22"/>
          <w:szCs w:val="22"/>
          <w:u w:val="single"/>
        </w:rPr>
        <w:t xml:space="preserve">handoff.ts</w:t>
      </w:r>
      <w:r>
        <w:rPr>
          <w:rFonts w:ascii="Arial" w:cs="Arial" w:eastAsia="Arial" w:hAnsi="Arial"/>
          <w:color w:val="2D2D2D"/>
          <w:sz w:val="22"/>
          <w:szCs w:val="22"/>
        </w:rPr>
        <w:t xml:space="preserve"> for the commercial intent routing. Each CTA carries offer codes, intent codes, and attribution data through to the platform.</w:t>
      </w:r>
    </w:p>
    <w:p>
      <w:pPr>
        <w:pStyle w:val="Heading1"/>
        <w:pBdr>
          <w:bottom w:val="single" w:color="2E75B6" w:sz="4" w:space="8"/>
        </w:pBdr>
        <w:spacing w:before="360" w:after="200"/>
      </w:pPr>
      <w:r>
        <w:rPr>
          <w:rFonts w:ascii="Arial" w:cs="Arial" w:eastAsia="Arial" w:hAnsi="Arial"/>
          <w:b/>
          <w:bCs/>
          <w:color w:val="1B3A5C"/>
          <w:sz w:val="30"/>
          <w:szCs w:val="30"/>
        </w:rPr>
        <w:t xml:space="preserve">Attribution Tracking</w:t>
      </w:r>
    </w:p>
    <w:p>
      <w:pPr>
        <w:spacing w:before="80" w:after="80" w:line="32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Every lead carries full campaign attribution through the funnel: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UTM parameters (source, medium, campaign, content, term)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Referrer URL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Landing path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Session token (ties diagnostic conversation to platform account)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Claim token (ties anonymous session to authenticated user)</w:t>
      </w:r>
    </w:p>
    <w:p>
      <w:pPr>
        <w:spacing w:before="80" w:after="80" w:line="32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This means we can trace: "This €7K Foundation client came from a BNI member's LinkedIn share → landed on the diagnostic → completed 5 questions → signed up → closed on Day 7 call."</w:t>
      </w:r>
    </w:p>
    <w:p>
      <w:pPr>
        <w:pStyle w:val="Heading1"/>
        <w:pBdr>
          <w:bottom w:val="single" w:color="2E75B6" w:sz="4" w:space="8"/>
        </w:pBdr>
        <w:spacing w:before="360" w:after="200"/>
      </w:pPr>
      <w:r>
        <w:rPr>
          <w:rFonts w:ascii="Arial" w:cs="Arial" w:eastAsia="Arial" w:hAnsi="Arial"/>
          <w:b/>
          <w:bCs/>
          <w:color w:val="1B3A5C"/>
          <w:sz w:val="30"/>
          <w:szCs w:val="30"/>
        </w:rPr>
        <w:t xml:space="preserve">Metrics to Track</w:t>
      </w:r>
    </w:p>
    <w:p>
      <w:pPr>
        <w:spacing w:before="12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Metric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Target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Measured By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Landing page → diagnostic start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40%+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Session created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Diagnostic start → completion (5 questions)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60%+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All 5 questions answered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Diagnostic completion → CTA click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30%+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Handoff link clicked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CTA click → account created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50%+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Google sign-in completed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Account created → 7-day trial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80%+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Beta code activated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7-day trial → close call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60%+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Call booked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Close call → paid client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40%+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Payment received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Landing page → paid client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~3–5%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End-to-end conversion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Book Demo → call completed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70%+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Calendar event attended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Demo call → paid client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50%+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Payment received</w:t>
            </w:r>
          </w:p>
        </w:tc>
      </w:tr>
    </w:tbl>
    <w:p>
      <w:pPr>
        <w:spacing w:before="0" w:after="120"/>
      </w:pPr>
    </w:p>
    <w:p>
      <w:pPr>
        <w:pStyle w:val="Heading1"/>
        <w:pBdr>
          <w:bottom w:val="single" w:color="2E75B6" w:sz="4" w:space="8"/>
        </w:pBdr>
        <w:spacing w:before="360" w:after="200"/>
      </w:pPr>
      <w:r>
        <w:rPr>
          <w:rFonts w:ascii="Arial" w:cs="Arial" w:eastAsia="Arial" w:hAnsi="Arial"/>
          <w:b/>
          <w:bCs/>
          <w:color w:val="1B3A5C"/>
          <w:sz w:val="30"/>
          <w:szCs w:val="30"/>
        </w:rPr>
        <w:t xml:space="preserve">The Key Insight: Why This Beats Everything Else</w:t>
      </w:r>
    </w:p>
    <w:p>
      <w:pPr>
        <w:spacing w:before="80" w:after="80" w:line="32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Every other company in this space does one of these: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Content marketing:</w:t>
      </w:r>
      <w:r>
        <w:rPr>
          <w:rFonts w:ascii="Arial" w:cs="Arial" w:eastAsia="Arial" w:hAnsi="Arial"/>
          <w:color w:val="2D2D2D"/>
          <w:sz w:val="22"/>
          <w:szCs w:val="22"/>
        </w:rPr>
        <w:t xml:space="preserve"> Blog posts, webinars, whitepapers → lead form → sales call. 3–6 month cycle.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Product-led growth:</w:t>
      </w:r>
      <w:r>
        <w:rPr>
          <w:rFonts w:ascii="Arial" w:cs="Arial" w:eastAsia="Arial" w:hAnsi="Arial"/>
          <w:color w:val="2D2D2D"/>
          <w:sz w:val="22"/>
          <w:szCs w:val="22"/>
        </w:rPr>
        <w:t xml:space="preserve"> Free tier → usage → upgrade prompt. Works for $49/mo SaaS, not for €7K.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Outbound sales:</w:t>
      </w:r>
      <w:r>
        <w:rPr>
          <w:rFonts w:ascii="Arial" w:cs="Arial" w:eastAsia="Arial" w:hAnsi="Arial"/>
          <w:color w:val="2D2D2D"/>
          <w:sz w:val="22"/>
          <w:szCs w:val="22"/>
        </w:rPr>
        <w:t xml:space="preserve"> Cold email/call → discovery → demo → proposal. 2–4% conversion.</w:t>
      </w:r>
    </w:p>
    <w:p>
      <w:pPr>
        <w:spacing w:before="80" w:after="80" w:line="32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Seven Layers does something nobody else can:</w:t>
      </w:r>
    </w:p>
    <w:p>
      <w:pPr>
        <w:spacing w:before="80" w:after="80" w:line="320"/>
      </w:pP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The prospect experiences the product, gets genuine value, and the AI captures the lead — all in 7 minutes, with zero human involvement.</w:t>
      </w:r>
      <w:r>
        <w:rPr>
          <w:rFonts w:ascii="Arial" w:cs="Arial" w:eastAsia="Arial" w:hAnsi="Arial"/>
          <w:color w:val="2D2D2D"/>
          <w:sz w:val="22"/>
          <w:szCs w:val="22"/>
        </w:rPr>
        <w:t xml:space="preserve"> By the time a human enters the picture, the prospect already believes. The sales call isn't about convincing. It's about choosing which tier.</w:t>
      </w:r>
    </w:p>
    <w:p>
      <w:pPr>
        <w:spacing w:before="80" w:after="80" w:line="32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This is "give away the secrets, sell the implementation" made literal. The diagnostic gives away the strategic insight. The implementation is what costs money.</w:t>
      </w:r>
    </w:p>
    <w:p>
      <w:pPr>
        <w:spacing w:before="200" w:after="100"/>
      </w:pP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See [03_SALES_MOTION.md](./03_SALES_MOTION.md) for what happens after the lead is captured. See [01_PRICING_LADDER.md](./01_PRICING_LADDER.md) for tier details.</w:t>
      </w:r>
    </w:p>
    <w:sectPr>
      <w:headerReference w:type="default" r:id="rId6"/>
      <w:footerReference w:type="default" r:id="rId7"/>
      <w:pgSz w:w="12240" w:h="15840" w:orient="portrait"/>
      <w:pgMar w:top="180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4C6D8" w:sz="2" w:space="6"/>
      </w:pBdr>
      <w:tabs>
        <w:tab w:val="right" w:pos="9026"/>
      </w:tabs>
    </w:pPr>
    <w:r>
      <w:rPr>
        <w:rFonts w:ascii="Arial" w:cs="Arial" w:eastAsia="Arial" w:hAnsi="Arial"/>
        <w:color w:val="666666"/>
        <w:sz w:val="14"/>
        <w:szCs w:val="14"/>
      </w:rPr>
      <w:t xml:space="preserve">Confidential — Internal Use Only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color w:val="666666"/>
        <w:sz w:val="14"/>
        <w:szCs w:val="14"/>
      </w:rPr>
      <w:t xml:space="preserve">Page </w:t>
    </w:r>
    <w:r>
      <w:rPr>
        <w:rFonts w:ascii="Arial" w:cs="Arial" w:eastAsia="Arial" w:hAnsi="Arial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6"/>
      </w:pBdr>
      <w:tabs>
        <w:tab w:val="right" w:pos="9026"/>
      </w:tabs>
      <w:spacing w:after="80"/>
    </w:pPr>
    <w:r>
      <w:rPr>
        <w:rFonts w:ascii="Arial" w:cs="Arial" w:eastAsia="Arial" w:hAnsi="Arial"/>
        <w:b/>
        <w:bCs/>
        <w:color w:val="1B3A5C"/>
        <w:sz w:val="16"/>
        <w:szCs w:val="16"/>
      </w:rPr>
      <w:t xml:space="preserve">SEVEN LAYERS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color w:val="666666"/>
        <w:sz w:val="14"/>
        <w:szCs w:val="14"/>
      </w:rPr>
      <w:t xml:space="preserve">LEAD GENERATION ENGINE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D2D2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60" w:after="200"/>
      <w:outlineLvl w:val="0"/>
    </w:pPr>
    <w:rPr>
      <w:rFonts w:ascii="Arial" w:cs="Arial" w:eastAsia="Arial" w:hAnsi="Arial"/>
      <w:b/>
      <w:bCs/>
      <w:color w:val="1B3A5C"/>
      <w:sz w:val="30"/>
      <w:szCs w:val="30"/>
    </w:rPr>
  </w:style>
  <w:style w:type="paragraph" w:styleId="Heading2">
    <w:name w:val="Heading 2"/>
    <w:basedOn w:val="Normal"/>
    <w:next w:val="Normal"/>
    <w:qFormat/>
    <w:pPr>
      <w:spacing w:before="280" w:after="14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rFonts w:ascii="Arial" w:cs="Arial" w:eastAsia="Arial" w:hAnsi="Arial"/>
      <w:b/>
      <w:bCs/>
      <w:color w:val="1B3A5C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2026-03-04T07:49:22.974Z</dcterms:created>
  <dcterms:modified xsi:type="dcterms:W3CDTF">2026-03-04T07:49:22.974Z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