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 w:after="0"/>
      </w:pPr>
    </w:p>
    <w:p>
      <w:pPr>
        <w:spacing w:before="0" w:after="40"/>
      </w:pPr>
      <w:r>
        <w:rPr>
          <w:rFonts w:ascii="Arial" w:cs="Arial" w:eastAsia="Arial" w:hAnsi="Arial"/>
          <w:b/>
          <w:bCs/>
          <w:color w:val="2E75B6"/>
          <w:spacing w:val="200"/>
          <w:sz w:val="20"/>
          <w:szCs w:val="20"/>
        </w:rPr>
        <w:t xml:space="preserve">SEVEN LAYERS</w:t>
      </w:r>
    </w:p>
    <w:p>
      <w:pPr>
        <w:pBdr>
          <w:bottom w:val="single" w:color="2E75B6" w:sz="6" w:space="12"/>
        </w:pBdr>
        <w:spacing w:before="0" w:after="120"/>
      </w:pPr>
      <w:r>
        <w:rPr>
          <w:rFonts w:ascii="Arial" w:cs="Arial" w:eastAsia="Arial" w:hAnsi="Arial"/>
          <w:b/>
          <w:bCs/>
          <w:color w:val="1B3A5C"/>
          <w:sz w:val="40"/>
          <w:szCs w:val="40"/>
        </w:rPr>
        <w:t xml:space="preserve">Document 05: Channel Playbook</w:t>
      </w:r>
    </w:p>
    <w:p>
      <w:pPr>
        <w:spacing w:before="120" w:after="8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One-of-One Strategy v2  |  2026-03-03  |  Internal — Founder’s Eyes Only</w:t>
      </w:r>
    </w:p>
    <w:p>
      <w:pPr>
        <w:spacing w:before="0" w:after="200"/>
      </w:pPr>
    </w:p>
    <w:p>
      <w:pPr>
        <w:spacing w:before="20" w:after="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Seven Layers | One-of-One Strategy v2</w:t>
      </w:r>
    </w:p>
    <w:p>
      <w:pPr>
        <w:spacing w:before="20" w:after="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Date: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 2026-03-03</w:t>
      </w:r>
    </w:p>
    <w:p>
      <w:pPr>
        <w:spacing w:before="20" w:after="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Classification: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 Internal — Founder's Eyes Only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Channel Mix Overview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The online funnel is now primary. Offline channels (BNI, IHK, events) are force multipliers that drive traffic to the funnel and create the warm context that makes the funnel convert.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Channel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of Year 1 Clients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Primary Action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Online funnel (landing page)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Primary inbound engine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30%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Diagnostic + demo booking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BNI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Network asset + referral engine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30%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Warm intros → landing page or direct demo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Direct outreach (LinkedIn + warm network)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Rule of 100 daily discipline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20%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DMs → landing page or call booking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Live demos &amp; speaking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Trust accelerator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10%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Events → immediate demo → beta code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Strategic partnerships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Leverage other people's networks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10%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Referral commission agreements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Channel 1: Online Funnel (Primary)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The Landing Page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The one-of-one landing page is the center of the GTM. Every other channel points here.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Two CTAs, always visible: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"Start Your Diagnostic"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Opens Samantha chat. 7-minute AI audit.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"Book a Live Demo"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— Links to Remington's calendar. 30-minute founder-led demo.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Traffic sources: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LinkedIn posts and DMs (link in every touchpoint)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BNI members sharing the link with their networks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QR code on business cards, event materials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Google organic (SEO plays develop over months)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Referral links from existing clients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The Conversion Path</w:t>
      </w:r>
    </w:p>
    <w:p>
      <w:pPr>
        <w:shd w:fill="F5F5F5" w:val="clear"/>
        <w:spacing w:before="12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Landing page visit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├── AI Diagnostic (Samantha)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│   → Completes audit → sees handoff CTAs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│   → Enters platform or books call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│   → 7-day trial → Day 7 close call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│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└── Book a Live Demo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→ Founder-led 30-min demo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→ Beta code → 7-day trial</w:t>
      </w:r>
    </w:p>
    <w:p>
      <w:pPr>
        <w:shd w:fill="F5F5F5" w:val="clear"/>
        <w:spacing w:before="0" w:after="12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→ Day 7 close call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What Makes This Channel Work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Available 24/7 (the AI never sleeps)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Zero marginal cost per visitor (~€0.15–0.30 for diagnostic)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The diagnostic is itself the proof of product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Full attribution tracking from first touch to close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Scales without scaling Remington's time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Channel 2: BNI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BNI strategy carries forward from cash-is-king with one key update: </w:t>
      </w: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every BNI touchpoint now drives to the landing page or a direct demo, not a beta code hand-off.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The BNI Loop</w:t>
      </w:r>
    </w:p>
    <w:p>
      <w:pPr>
        <w:shd w:fill="F5F5F5" w:val="clear"/>
        <w:spacing w:before="12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BNI Chapter Meeting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→ 60-second pitch (Meta Glasses demo or verbal)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→ Networking break: hand out cards with QR → landing page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→ 1:1 coffees midweek: "Go to the website, talk to Samantha, tell me what you think"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→ Their network: "You should talk to Remington" → landing page link</w:t>
      </w:r>
    </w:p>
    <w:p>
      <w:pPr>
        <w:shd w:fill="F5F5F5" w:val="clear"/>
        <w:spacing w:before="0" w:after="12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→ Warm intro → direct demo or diagnostic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BNI Roles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Strategic Value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Chapter Director, Pasewalk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Target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Maximum visibility, referral priority, dues likely waived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"AI / Technology" seat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Lock it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Category exclusivity — no competitors in the chapter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Cross-chapter visitor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Active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Present at Greifswald, Neubrandenburg, Rostock, Schwerin chapters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Regionaldirektor MV relationship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Build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Opens access to every chapter in the region</w:t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BNI Pitch Updates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The BNI pitch still uses the Meta Glasses demo (Doc 06 in cash-is-king). But the follow-up has changed: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Old Follow-Up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New Follow-Up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"Here's a beta code"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"Go to sevenlayers.io — talk to my AI. Tell me what you think."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"7-day free trial"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"The diagnostic is free and takes 7 minutes. If you like what it tells you, I'll set up a call."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"WhatsApp me for a code"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"Book a demo at sevenlayers.io/demo — or just start chatting with Samantha on the homepage."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Everything routes to the landing page or the demo booking. The funnel does the qualification work.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BNI Time Investment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Hours/Week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Chapter meeting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2.0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Post-meeting follow-ups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0.5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1:1 coffees (2 per week)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2.0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Admin (visitor invitations, referral tracking, chapter growth)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Total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5.5 hours/week</w:t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BNI ROI Target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Investment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Membership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€1,420/year (or €0 if waived as director)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Time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~275 hours/year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Return (conservative)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5–7 clients/year = €35K–€1.3M in setup revenue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ROI on time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€125–€4,700/hour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Channel 3: Direct Outreach (Rule of 100)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LinkedIn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Daily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Weekly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Send personalized DMs to ICP prospects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15–20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75–100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Comment on target prospects' posts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10–15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50–75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Publish original content (posts, articles)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3–5 posts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Share client results / case studies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1/week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DM Template (adapt, never copy-paste):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"Hey [Name], saw your post about [topic]. I built something that might interest you — an AI operator that handles [relevant task] for businesses like yours. Takes 7 minutes to see it in action: [landing page link]. No pitch, just talk to the AI and see what it recommends."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Key principle: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Value first. Link to diagnostic. Let the AI do the qualifying. Only pitch on a call after they've experienced the product.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Warm Network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Monthly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WhatsApp/Signal messages to personal contacts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30–50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Local business owner coffees (Pasewalk/MV)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8–12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Event contact follow-ups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As they come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Warm Network Script: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"Hey [Name], I built something new — an AI that's born from a conversation about your business. 7 minutes on our website and it'll tell you exactly where to start. [link] Would love your honest feedback."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Channel 4: Live Demos &amp; Speaking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Events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Venue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Frequency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Leads per Event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BNI chapter presentations (own + cross-chapter)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10-min presentation with Meta Glasses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2/month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2–5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IHK events (Industrie- und Handelskammer)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30-min talk or booth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1/quarter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5–10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Gründungswerft events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Workshop or talk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1/quarter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5–10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Online webinars ("Your AI in 15 Minutes — Live")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60-min live demo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1/month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10–20 registrants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Podcast guesting (DE business podcasts)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Interview + demo offer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1–2/month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3–5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Vistage / EO groups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Invited presentation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As invited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3–8 high-quality leads</w:t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The Demo Flow (Any Format)</w:t>
      </w:r>
    </w:p>
    <w:p>
      <w:pPr>
        <w:shd w:fill="F5F5F5" w:val="clear"/>
        <w:spacing w:before="12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1. "Let me show you something. 7 minutes."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2. Run a LIVE diagnostic — or use the Meta Glasses for maximum theater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3. The AI analyzes their business and delivers a recommendation</w:t>
      </w:r>
    </w:p>
    <w:p>
      <w:pPr>
        <w:shd w:fill="F5F5F5" w:val="clear"/>
        <w:spacing w:before="0" w:after="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4. "Your operator just showed you what it can do. Want to keep it?"</w:t>
      </w:r>
    </w:p>
    <w:p>
      <w:pPr>
        <w:shd w:fill="F5F5F5" w:val="clear"/>
        <w:spacing w:before="0" w:after="120" w:line="276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5. Direct to landing page for diagnostic, or book follow-up call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Meta Glasses Demo (Unchanged from Cash-Is-King Doc 06)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The BNI pitch playbook remains the tactical guide for the Glasses demo. The choreography, failover scripts, and preparation checklists are all current. The only change is the follow-up: route to the landing page or demo booking, not a beta code.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Channel 5: Strategic Partnerships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Partner Types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Partner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Seven Layers Fits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Deal Structure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Marketing agencies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"Your clients need an AI to handle the leads you generate"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20% referral commission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IT consultants / MSPs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"Add AI operators to your service stack"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15% referral + co-delivery option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Business coaches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"Give your clients an operator that implements what you teach"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20% referral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Steuerberater / Tax advisors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"An AI that handles your clients' reporting and follow-up"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15% referral</w:t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How to Find Them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BNI IS the partner pool. The marketing agency member, the IT consultant, the business coach — they all serve the same customers we do. Cross-referral is the native BNI motion.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Partner Activation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Identify potential partner in BNI chapter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1:1 coffee: show them the diagnostic ("Talk to Samantha, see what she says about your business")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If impressed: "Your clients would love this. Want to try it? If it works, I'll give you 20% of every client you refer."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Give them a custom referral link (attribution tracking built in)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Monthly check-in: review referrals, share results, keep the relationship warm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Target: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2–3 active referral partners by month 6, generating 1–2 clients/year each.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Channel 6: Content (Credibility Layer, Not Revenue Engine)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Content is NOT the revenue engine in Year 1. It's the trust accelerator. When someone Googles you after a BNI intro or a LinkedIn DM, they should find enough to believe you're real.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Content Type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Frequency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LinkedIn posts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3–5/week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Thought leadership, build-in-public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YouTube (short demos)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1/month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Demo clips, customer stories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SEO articles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1–2/month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Long-tail: "Personal AI for [industry]"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Case studies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 per client (with permission)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Social proof for sales conversations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Year 2 pivot: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Once high-ticket revenue funds a content hire, flip the content engine on. At that point, consider adding self-serve tiers (the old €49–399/mo model) as the mass-market play funded by high-ticket profits.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Unified Channel Calendar (Monthly)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Week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BNI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Outreach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Content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Events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Partnerships</w:t>
            </w:r>
          </w:p>
        </w:tc>
      </w:tr>
      <w:tr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1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Chapter meeting + 2 coffees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500 touches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 LinkedIn posts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 partner check-in</w:t>
            </w:r>
          </w:p>
        </w:tc>
      </w:tr>
      <w:tr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2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Chapter meeting + 2 coffees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500 touches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 LinkedIn posts + 1 article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 webinar or event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3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Chapter meeting + 2 coffees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500 touches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 LinkedIn posts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 partner coffee</w:t>
            </w:r>
          </w:p>
        </w:tc>
      </w:tr>
      <w:tr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Week 4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Chapter meeting + 2 coffees + cross-chapter visit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500 touches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 LinkedIn posts + 1 video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 podcast or event</w:t>
            </w:r>
          </w:p>
        </w:tc>
        <w:tc>
          <w:tcPr>
            <w:tcW w:type="dxa" w:w="156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—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Monthly totals: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4 BNI meetings, 8 coffees, 2,000 touches, 12 LinkedIn posts, 1 article, 1 video, 2 events, 2 partner touchpoints.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What Success Looks Like by Month 6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Landing page monthly visitors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500+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Diagnostics completed/month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100+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Demo calls booked/month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15+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Pipeline value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&gt;€100K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Clients closed (cumulative)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8–9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Revenue collected (cumulative)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&gt;€400K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BNI chapter membership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15–25 members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Active referral partners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2–3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Case studies published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3+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LinkedIn followers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500+</w:t>
            </w:r>
          </w:p>
        </w:tc>
      </w:tr>
    </w:tbl>
    <w:p>
      <w:pPr>
        <w:spacing w:before="0" w:after="120"/>
      </w:pPr>
    </w:p>
    <w:p>
      <w:pPr>
        <w:spacing w:before="200"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See 03_SALES_MOTION.md for close sequence. See 02_LEAD_GENERATION_ENGINE.md for funnel mechanics. See 06_BNI_PITCH_PLAYBOOK.md for the Meta Glasses demo choreography and German scripts.</w:t>
      </w:r>
    </w:p>
    <w:sectPr>
      <w:headerReference w:type="default" r:id="rId6"/>
      <w:footerReference w:type="default" r:id="rId7"/>
      <w:pgSz w:w="12240" w:h="15840" w:orient="portrait"/>
      <w:pgMar w:top="180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4C6D8" w:sz="2" w:space="6"/>
      </w:pBdr>
      <w:tabs>
        <w:tab w:val="right" w:pos="9026"/>
      </w:tabs>
    </w:pPr>
    <w:r>
      <w:rPr>
        <w:rFonts w:ascii="Arial" w:cs="Arial" w:eastAsia="Arial" w:hAnsi="Arial"/>
        <w:color w:val="666666"/>
        <w:sz w:val="14"/>
        <w:szCs w:val="14"/>
      </w:rPr>
      <w:t xml:space="preserve">Confidential — Internal Use Only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66666"/>
        <w:sz w:val="14"/>
        <w:szCs w:val="14"/>
      </w:rPr>
      <w:t xml:space="preserve">Page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6"/>
      </w:pBdr>
      <w:tabs>
        <w:tab w:val="right" w:pos="9026"/>
      </w:tabs>
      <w:spacing w:after="80"/>
    </w:pPr>
    <w:r>
      <w:rPr>
        <w:rFonts w:ascii="Arial" w:cs="Arial" w:eastAsia="Arial" w:hAnsi="Arial"/>
        <w:b/>
        <w:bCs/>
        <w:color w:val="1B3A5C"/>
        <w:sz w:val="16"/>
        <w:szCs w:val="16"/>
      </w:rPr>
      <w:t xml:space="preserve">SEVEN LAYERS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66666"/>
        <w:sz w:val="14"/>
        <w:szCs w:val="14"/>
      </w:rPr>
      <w:t xml:space="preserve">CHANNEL PLAYBOOK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D2D2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B3A5C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1B3A5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2026-03-04T07:49:23.062Z</dcterms:created>
  <dcterms:modified xsi:type="dcterms:W3CDTF">2026-03-04T07:49:23.062Z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