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Технічні стандарти розробки та архітектури проєктів TechNova Solutions</w:t>
      </w:r>
    </w:p>
    <w:p>
      <w:pPr>
        <w:pStyle w:val="Heading2"/>
      </w:pPr>
      <w:r>
        <w:t>1. Технологічний стек та форматування коду</w:t>
      </w:r>
    </w:p>
    <w:p>
      <w:r>
        <w:t>Основним стандартом для фронтенд-проєктів компанії є використання TypeScript у суворому режимі (strict: true). Використання типу any категорично заборонено без письмового обґрунтування в коментарях. Для автоматичного форматування коду використовується Prettier (ширина рядка — 100 символів, одинарні лапки, обов'язкова крапка з комою).</w:t>
      </w:r>
    </w:p>
    <w:p>
      <w:pPr>
        <w:pStyle w:val="Heading2"/>
      </w:pPr>
      <w:r>
        <w:t>2. Вимоги до тестування та якості</w:t>
      </w:r>
    </w:p>
    <w:p>
      <w:r>
        <w:t>Кожен новий модуль або утиліта повинні бути покриті модульними тестами (Unit Tests) з використанням фреймворку Vitest або Jest. Мінімально допустимий поріг покриття коду тестами (Code Coverage) для проходження CI/CD пайплайну становить 80%. Інтеграційні тести пишуться за допомогою Playwright.</w:t>
      </w:r>
    </w:p>
    <w:p>
      <w:pPr>
        <w:pStyle w:val="Heading2"/>
      </w:pPr>
      <w:r>
        <w:t>3. Деплоймент та релізи</w:t>
      </w:r>
    </w:p>
    <w:p>
      <w:r>
        <w:t>Автоматичний деплоймент на тестове середовище (Staging) відбувається щоразу після успішного злиття Pull Request у гілку develop та проходження всіх перевірок лінтера і тестів (мінімум 80% покриття). Реліз на Production-середовище виконується виключно у вівторок та четвер з 10:00 до 12:00 за київським часом за присутності чергового DevOps-інженера.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