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b w:val="0"/>
          <w:sz w:val="46"/>
        </w:rPr>
        <w:t>阿里云第一期充值申请说明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合伙人审批稿｜2026年9月7日</w:t>
      </w:r>
    </w:p>
    <w:p>
      <w:r>
        <w:rPr>
          <w:rFonts w:ascii="Noto Sans CJK SC" w:hAnsi="Noto Sans CJK SC" w:eastAsia="Noto Sans CJK SC"/>
          <w:b w:val="0"/>
          <w:sz w:val="20"/>
        </w:rPr>
        <w:t>申请主体：上海生声不息科技有限公司（实际充值账号实名认证及签约主体须由财务确认）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一、申请事项</w:t>
      </w:r>
    </w:p>
    <w:p>
      <w:r>
        <w:rPr>
          <w:rFonts w:ascii="Noto Sans CJK SC" w:hAnsi="Noto Sans CJK SC" w:eastAsia="Noto Sans CJK SC"/>
          <w:b w:val="0"/>
          <w:sz w:val="20"/>
        </w:rPr>
        <w:t xml:space="preserve">建议批准第一期阿里云账户首次充值 </w:t>
      </w:r>
      <w:r>
        <w:rPr>
          <w:rFonts w:ascii="Noto Sans CJK SC" w:hAnsi="Noto Sans CJK SC" w:eastAsia="Noto Sans CJK SC"/>
          <w:b/>
          <w:sz w:val="20"/>
        </w:rPr>
        <w:t>100,000元</w:t>
      </w:r>
      <w:r>
        <w:rPr>
          <w:rFonts w:ascii="Noto Sans CJK SC" w:hAnsi="Noto Sans CJK SC" w:eastAsia="Noto Sans CJK SC"/>
          <w:b w:val="0"/>
          <w:sz w:val="20"/>
        </w:rPr>
        <w:t xml:space="preserve">，并将六个月基础云支出审批上限设为 </w:t>
      </w:r>
      <w:r>
        <w:rPr>
          <w:rFonts w:ascii="Noto Sans CJK SC" w:hAnsi="Noto Sans CJK SC" w:eastAsia="Noto Sans CJK SC"/>
          <w:b/>
          <w:sz w:val="20"/>
        </w:rPr>
        <w:t>120,000元</w:t>
      </w:r>
      <w:r>
        <w:rPr>
          <w:rFonts w:ascii="Noto Sans CJK SC" w:hAnsi="Noto Sans CJK SC" w:eastAsia="Noto Sans CJK SC"/>
          <w:b w:val="0"/>
          <w:sz w:val="20"/>
        </w:rPr>
        <w:t>。其中100,000元为计划内资源与API资金，另20,000元为须再次审批的扩容预留，不立即充值、不自动消费。</w:t>
      </w:r>
    </w:p>
    <w:p>
      <w:r>
        <w:rPr>
          <w:rFonts w:ascii="Noto Sans CJK SC" w:hAnsi="Noto Sans CJK SC" w:eastAsia="Noto Sans CJK SC"/>
          <w:b w:val="0"/>
          <w:sz w:val="20"/>
        </w:rPr>
        <w:t>本次申请用于主站、采集站及后续应用的基础设施与少量模型API，不包括GPU采购或租赁。现有奇绩算力支持优先沿用；两台8卡GPU裸机作为另一项询价与技术验证计划，另行决策。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5046"/>
      </w:tblGrid>
      <w:tr>
        <w:trPr>
          <w:cantSplit/>
          <w:tblHeader/>
        </w:trPr>
        <w:tc>
          <w:tcPr>
            <w:tcW w:type="dxa" w:w="226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审批口径</w:t>
            </w:r>
          </w:p>
        </w:tc>
        <w:tc>
          <w:tcPr>
            <w:tcW w:type="dxa" w:w="243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金额</w:t>
            </w:r>
          </w:p>
        </w:tc>
        <w:tc>
          <w:tcPr>
            <w:tcW w:type="dxa" w:w="5046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首次账户充值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100,000元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现金进入公司控制的阿里云账户；不等于当期费用全部发生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三个月支出检查点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不超过60,000元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评估采集、质量、稳定性与实际账单；不是额外申请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六个月基础云预算上限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120,000元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含上述充值及20,000元待批扩容额；不是累计220,000元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政策及赠送额度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预算抵减按0元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获批且可实际抵扣后，才减少现金消耗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GPU及训练存储专项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本次不审批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裸机、50TB训练持久存储与高速网络另行报价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二、这笔投入要支持什么</w:t>
      </w:r>
    </w:p>
    <w:p>
      <w:r>
        <w:rPr>
          <w:rFonts w:ascii="Noto Sans CJK SC" w:hAnsi="Noto Sans CJK SC" w:eastAsia="Noto Sans CJK SC"/>
          <w:b w:val="0"/>
          <w:sz w:val="20"/>
        </w:rPr>
        <w:t>第一期周期3—6个月，服务约1,000名用户，目标完成约20,000小时语音采集，支持10名开发者协作、主站及采集站运行，并为后续应用复用账号、存储与后台能力。重点是提升系统对用户意图的理解，不是纠正用户的声音。</w:t>
      </w:r>
    </w:p>
    <w:p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建议以六个月作为运营基线，三个月作为加速情景。</w:t>
      </w:r>
      <w:r>
        <w:rPr>
          <w:rFonts w:ascii="Noto Sans CJK SC" w:hAnsi="Noto Sans CJK SC" w:eastAsia="Noto Sans CJK SC"/>
          <w:b w:val="0"/>
          <w:sz w:val="20"/>
        </w:rPr>
        <w:t xml:space="preserve"> 延长周期能降低日均采集和高峰组织压力，但固定云资源占用时间更长，不能理解为总成本一定更低。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三、建议审批结论</w:t>
      </w:r>
    </w:p>
    <w:p>
      <w:r>
        <w:rPr>
          <w:rFonts w:ascii="Noto Sans CJK SC" w:hAnsi="Noto Sans CJK SC" w:eastAsia="Noto Sans CJK SC"/>
          <w:b w:val="0"/>
          <w:sz w:val="20"/>
        </w:rPr>
        <w:t>同意本次100,000元充值及120,000元六个月上限，但充值执行以账号与合同核验完成为前提。若一次性充值没有书面折扣、赠额或明确用量依据，应由申请人向合伙人提出分批充值替代方案，不为尚未确认的补贴锁定现金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投入依据：规模、现状与交付边界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四、20,000小时意味着什么</w:t>
      </w:r>
    </w:p>
    <w:p>
      <w:r>
        <w:rPr>
          <w:rFonts w:ascii="Noto Sans CJK SC" w:hAnsi="Noto Sans CJK SC" w:eastAsia="Noto Sans CJK SC"/>
          <w:b w:val="0"/>
          <w:sz w:val="20"/>
        </w:rPr>
        <w:t>以下按3个月90天、6个月180天、每天集中采集8小时测算，属于容量假设，不是现有系统承诺。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5046"/>
      </w:tblGrid>
      <w:tr>
        <w:trPr>
          <w:cantSplit/>
          <w:tblHeader/>
        </w:trPr>
        <w:tc>
          <w:tcPr>
            <w:tcW w:type="dxa" w:w="226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243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三个月完成</w:t>
            </w:r>
          </w:p>
        </w:tc>
        <w:tc>
          <w:tcPr>
            <w:tcW w:type="dxa" w:w="5046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六个月完成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日均有效录音时长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约222小时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约111小时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采集窗口内平均同时录音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约28人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约14人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峰值上传设计场景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80—150路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40—80路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每人平均录音投入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共20小时；约13.3分钟/日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共20小时；约6.7分钟/日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0"/>
        </w:rPr>
        <w:t>每人20小时仅为算术均值，不应成为强制采集负担；需验证参与率、退出率、休息与重录时间。若目标是20,000小时“可训练有效数据”，实际录制量还需除以合格率，不能直接将原始录音时长视作训练入库量。</w:t>
      </w:r>
    </w:p>
    <w:p>
      <w:r>
        <w:rPr>
          <w:rFonts w:ascii="Noto Sans CJK SC" w:hAnsi="Noto Sans CJK SC" w:eastAsia="Noto Sans CJK SC"/>
          <w:b w:val="0"/>
          <w:sz w:val="20"/>
        </w:rPr>
        <w:t>16kHz、单声道、16-bit PCM约115.2MB/小时，20,000小时约2.304TB。原始音频、标准化副本、重录留痕、数据版本和备份合计按6—10TB业务存储规划。单位采用十进制TB，训练checkpoint大仓不在此容量内。</w:t>
      </w:r>
    </w:p>
    <w:p>
      <w:r>
        <w:rPr>
          <w:rFonts w:ascii="Noto Sans CJK SC" w:hAnsi="Noto Sans CJK SC" w:eastAsia="Noto Sans CJK SC"/>
          <w:b w:val="0"/>
          <w:sz w:val="20"/>
        </w:rPr>
        <w:t>每条10秒约产生720万条录音；按每条约4—7次控制请求，三至六个月约3,000万—5,000万次业务API请求。音频主体直传OSS，Backend只处理授权、签名、完成回执和进度等控制操作。该估算不含无限轮询、重复补传及未来新增应用流量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五、不是从零建设，但尚未达到规模化交付</w:t>
      </w:r>
    </w:p>
    <w:p>
      <w:r>
        <w:rPr>
          <w:rFonts w:ascii="Noto Sans CJK SC" w:hAnsi="Noto Sans CJK SC" w:eastAsia="Noto Sans CJK SC"/>
          <w:b w:val="0"/>
          <w:sz w:val="20"/>
        </w:rPr>
        <w:t>已有Web录音与OSS直传、登录授权、录音重试/撤回与状态管理、自研个性化ASR接入、DashScope实时回退、LLM处理、少量TTS和LiveKit语音主链。第二品牌已有配置骨架；单Agent Worker已有8路完整RTC链路验证记录。[L1]</w:t>
      </w:r>
    </w:p>
    <w:p>
      <w:r>
        <w:rPr>
          <w:rFonts w:ascii="Noto Sans CJK SC" w:hAnsi="Noto Sans CJK SC" w:eastAsia="Noto Sans CJK SC"/>
          <w:b w:val="0"/>
          <w:sz w:val="20"/>
        </w:rPr>
        <w:t>尚未完成1,000用户规模验证、80—150路采集峰值压测、双Backend多实例安全、持久事件队列、跨实例幂等与账号互斥、第二Agent Worker、批量质检/结算及20,000小时生产数据闭环。购买服务器不等于这些工作自动完成。</w:t>
      </w:r>
    </w:p>
    <w:p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特别前提：当前采集过程包含实时识别。</w:t>
      </w:r>
      <w:r>
        <w:rPr>
          <w:rFonts w:ascii="Noto Sans CJK SC" w:hAnsi="Noto Sans CJK SC" w:eastAsia="Noto Sans CJK SC"/>
          <w:b w:val="0"/>
          <w:sz w:val="20"/>
        </w:rPr>
        <w:t xml:space="preserve"> 两个按8路验证推进的Worker不等于能够承接80—150名同时使用实时识别的采集用户。必须先验证“采集可持续、识别可限流或排队”的路径，或另行扩充实时资源；本预算不承诺150路实时AI会话。[L1、L2]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预算分配与资源用途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六、内部审批分配表</w:t>
      </w:r>
    </w:p>
    <w:p>
      <w:r>
        <w:rPr>
          <w:rFonts w:ascii="Noto Sans CJK SC" w:hAnsi="Noto Sans CJK SC" w:eastAsia="Noto Sans CJK SC"/>
          <w:b w:val="0"/>
          <w:sz w:val="20"/>
        </w:rPr>
        <w:t>单位：人民币元。原始飞书资源、价格表未提供，本表是为审批补齐的</w:t>
      </w:r>
      <w:r>
        <w:rPr>
          <w:rFonts w:ascii="Noto Sans CJK SC" w:hAnsi="Noto Sans CJK SC" w:eastAsia="Noto Sans CJK SC"/>
          <w:b/>
          <w:sz w:val="20"/>
        </w:rPr>
        <w:t>建议额度分配</w:t>
      </w:r>
      <w:r>
        <w:rPr>
          <w:rFonts w:ascii="Noto Sans CJK SC" w:hAnsi="Noto Sans CJK SC" w:eastAsia="Noto Sans CJK SC"/>
          <w:b w:val="0"/>
          <w:sz w:val="20"/>
        </w:rPr>
        <w:t>，不是阿里云报价，也不表示已经购买。实际以相同地域、SKU、期限、税费和流量条件下的书面报价替换；超出上限须重审。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361"/>
        <w:gridCol w:w="1361"/>
        <w:gridCol w:w="4479"/>
      </w:tblGrid>
      <w:tr>
        <w:trPr>
          <w:cantSplit/>
          <w:tblHeader/>
        </w:trPr>
        <w:tc>
          <w:tcPr>
            <w:tcW w:type="dxa" w:w="2551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费用类别</w:t>
            </w:r>
          </w:p>
        </w:tc>
        <w:tc>
          <w:tcPr>
            <w:tcW w:type="dxa" w:w="1361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三个月</w:t>
            </w:r>
          </w:p>
        </w:tc>
        <w:tc>
          <w:tcPr>
            <w:tcW w:type="dxa" w:w="1361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六个月</w:t>
            </w:r>
          </w:p>
        </w:tc>
        <w:tc>
          <w:tcPr>
            <w:tcW w:type="dxa" w:w="4479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用途与边界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CPU计算与系统盘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18,000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40,000</w:t>
            </w:r>
          </w:p>
        </w:tc>
        <w:tc>
          <w:tcPr>
            <w:tcW w:type="dxa" w:w="4479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前端、Backend、LiveKit、Agent及批处理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业务OSS与备份存储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5,000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10,000</w:t>
            </w:r>
          </w:p>
        </w:tc>
        <w:tc>
          <w:tcPr>
            <w:tcW w:type="dxa" w:w="4479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6—10TB容量规划；按实际占用月份计费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公网、负载均衡与流量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7,000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16,000</w:t>
            </w:r>
          </w:p>
        </w:tc>
        <w:tc>
          <w:tcPr>
            <w:tcW w:type="dxa" w:w="4479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出网、TURN、OSS下载、请求与必要网络服务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状态服务与数据可靠性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4,000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10,000</w:t>
            </w:r>
          </w:p>
        </w:tc>
        <w:tc>
          <w:tcPr>
            <w:tcW w:type="dxa" w:w="4479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必要缓存、数据库备份等，不默认重建数据库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安全、日志与监控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3,000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7,000</w:t>
            </w:r>
          </w:p>
        </w:tc>
        <w:tc>
          <w:tcPr>
            <w:tcW w:type="dxa" w:w="4479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访问审计、告警、必要安全产品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研发、镜像与预发布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3,000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9,000</w:t>
            </w:r>
          </w:p>
        </w:tc>
        <w:tc>
          <w:tcPr>
            <w:tcW w:type="dxa" w:w="4479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镜像仓库、构建及临时验证资源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模型API备用金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8,000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8,000</w:t>
            </w:r>
          </w:p>
        </w:tc>
        <w:tc>
          <w:tcPr>
            <w:tcW w:type="dxa" w:w="4479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同一20,000小时目标，按总用量而非月份翻倍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计划内合计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48,000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100,000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4479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按阶段开通，不要求首日全量启用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待审批扩容预留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12,000</w:t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20,000</w:t>
            </w:r>
          </w:p>
        </w:tc>
        <w:tc>
          <w:tcPr>
            <w:tcW w:type="dxa" w:w="4479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三个月额度包含于六个月预留，不相加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审批上限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60,000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120,000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4479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三个月为阶段检查点，六个月为总上限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七、基础资源建议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948"/>
        <w:gridCol w:w="3118"/>
      </w:tblGrid>
      <w:tr>
        <w:trPr>
          <w:cantSplit/>
          <w:tblHeader/>
        </w:trPr>
        <w:tc>
          <w:tcPr>
            <w:tcW w:type="dxa" w:w="3685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节点用途</w:t>
            </w:r>
          </w:p>
        </w:tc>
        <w:tc>
          <w:tcPr>
            <w:tcW w:type="dxa" w:w="294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数量×单台规格</w:t>
            </w:r>
          </w:p>
        </w:tc>
        <w:tc>
          <w:tcPr>
            <w:tcW w:type="dxa" w:w="311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小计vCPU／内存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主前端</w:t>
            </w:r>
          </w:p>
        </w:tc>
        <w:tc>
          <w:tcPr>
            <w:tcW w:type="dxa" w:w="294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1×4核8GB</w:t>
            </w:r>
          </w:p>
        </w:tc>
        <w:tc>
          <w:tcPr>
            <w:tcW w:type="dxa" w:w="311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4核／8GB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第二前端、预发布及有界批处理</w:t>
            </w:r>
          </w:p>
        </w:tc>
        <w:tc>
          <w:tcPr>
            <w:tcW w:type="dxa" w:w="294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1×8核16GB</w:t>
            </w:r>
          </w:p>
        </w:tc>
        <w:tc>
          <w:tcPr>
            <w:tcW w:type="dxa" w:w="311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8核／16GB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Backend控制面</w:t>
            </w:r>
          </w:p>
        </w:tc>
        <w:tc>
          <w:tcPr>
            <w:tcW w:type="dxa" w:w="294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2×4核8GB</w:t>
            </w:r>
          </w:p>
        </w:tc>
        <w:tc>
          <w:tcPr>
            <w:tcW w:type="dxa" w:w="311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8核／16GB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LiveKit实时媒体</w:t>
            </w:r>
          </w:p>
        </w:tc>
        <w:tc>
          <w:tcPr>
            <w:tcW w:type="dxa" w:w="294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1×8核16GB</w:t>
            </w:r>
          </w:p>
        </w:tc>
        <w:tc>
          <w:tcPr>
            <w:tcW w:type="dxa" w:w="311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8核／16GB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Agent Worker</w:t>
            </w:r>
          </w:p>
        </w:tc>
        <w:tc>
          <w:tcPr>
            <w:tcW w:type="dxa" w:w="294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2×8核16GB</w:t>
            </w:r>
          </w:p>
        </w:tc>
        <w:tc>
          <w:tcPr>
            <w:tcW w:type="dxa" w:w="311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16核／32GB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合计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294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7台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311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44核／88GB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0"/>
        </w:rPr>
        <w:t>此为重建建议，不是已知原表。第二前端仅用预留资源承接有上限的质检、导出任务，持续积压时单独询价，不与在线Agent争抢资源。</w:t>
      </w:r>
    </w:p>
    <w:p>
      <w:r>
        <w:rPr>
          <w:rFonts w:ascii="Noto Sans CJK SC" w:hAnsi="Noto Sans CJK SC" w:eastAsia="Noto Sans CJK SC"/>
          <w:b w:val="0"/>
          <w:sz w:val="20"/>
        </w:rPr>
        <w:t>数据库/认证继续以现有Supabase事实源为准，缓存或持久队列不包含在7台中；如采购阿里云托管产品，从对应预算项支付并逐项报价。现有Supabase等外部厂商订阅不能用阿里云余额支付，应由财务另列既有成本，不能据此宣称已覆盖全部基础设施费用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API费用、政策与现金控制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八、API成本可控的条件</w:t>
      </w:r>
    </w:p>
    <w:p>
      <w:r>
        <w:rPr>
          <w:rFonts w:ascii="Noto Sans CJK SC" w:hAnsi="Noto Sans CJK SC" w:eastAsia="Noto Sans CJK SC"/>
          <w:b w:val="0"/>
          <w:sz w:val="20"/>
        </w:rPr>
        <w:t>自研ASR为主，云端ASR建议封顶总音频量10%，即全周期累计2,000小时，包含回退、对照和补充实时识别的收费音频，不包含免费“想当然”抵扣。六个月约333小时/月、三个月约667小时/月只是计划节奏，须设置累计控制及例外审批。</w:t>
      </w:r>
    </w:p>
    <w:p>
      <w:r>
        <w:rPr>
          <w:rFonts w:ascii="Noto Sans CJK SC" w:hAnsi="Noto Sans CJK SC" w:eastAsia="Noto Sans CJK SC"/>
          <w:b w:val="0"/>
          <w:sz w:val="20"/>
        </w:rPr>
        <w:t>按当前代码默认的千问实时ASR型号、百炼北京地域公开价0.00033元/秒示例，2,000小时约2,376元；若误配成20,000小时全量调用，则约23,760元，已明显超过API备用金。价格只用于量级校验，实际地域、模型版本和计费秒数由账单确认。[A2、L3]</w:t>
      </w:r>
    </w:p>
    <w:p>
      <w:r>
        <w:rPr>
          <w:rFonts w:ascii="Noto Sans CJK SC" w:hAnsi="Noto Sans CJK SC" w:eastAsia="Noto Sans CJK SC"/>
          <w:b w:val="0"/>
          <w:sz w:val="20"/>
        </w:rPr>
        <w:t>LLM优先沿用经任务评测合适的Flash，复杂任务才切Plus；纠错、对话、报告与记忆整理分别统计输入/输出Token。举例：720万条各一次处理、每次300输入＋100输出Token，以qwen-flash北京短上下文公开价0.15元／百万输入Token、1.5元／百万输出Token估算约1,404元。该例不含历史上下文、重试、多轮对话和Plus升级，不能作为完整报价。[A2]</w:t>
      </w:r>
    </w:p>
    <w:p>
      <w:r>
        <w:rPr>
          <w:rFonts w:ascii="Noto Sans CJK SC" w:hAnsi="Noto Sans CJK SC" w:eastAsia="Noto Sans CJK SC"/>
          <w:b w:val="0"/>
          <w:sz w:val="20"/>
        </w:rPr>
        <w:t>因此8,000元可作有限用量下的备用金，不保证任意用量。建议内部暂分ASR 3,000元、LLM 3,500元、TTS 500元、异常重试1,000元；这些都是建议控制值，尚未配置。预算预警不能替代应用侧限流；达到限额应停止非必要批处理、保留本地录音与待处理队列，必要回退另行审批。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九、补贴与优惠不作为充值前提</w:t>
      </w:r>
    </w:p>
    <w:p>
      <w:r>
        <w:rPr>
          <w:rFonts w:ascii="Noto Sans CJK SC" w:hAnsi="Noto Sans CJK SC" w:eastAsia="Noto Sans CJK SC"/>
          <w:b w:val="0"/>
          <w:sz w:val="20"/>
        </w:rPr>
        <w:t>百炼公开页出现“超7000万免费Tokens”，同页也出现“超1亿Tokens”表述，说明宣传入口不宜直接转换为本账户权益。是否新客、哪些模型、额度有效期及抵扣方式，必须以账户领取记录和书面规则为准。Token Plan订阅、活动赠额、人民币抵扣金与地方财政券不是同一项权益。[A1]</w:t>
      </w:r>
    </w:p>
    <w:p>
      <w:r>
        <w:rPr>
          <w:rFonts w:ascii="Noto Sans CJK SC" w:hAnsi="Noto Sans CJK SC" w:eastAsia="Noto Sans CJK SC"/>
          <w:b w:val="0"/>
          <w:sz w:val="20"/>
        </w:rPr>
        <w:t>结合政策PDF：余杭需取得2026修订细则和最终算力伙伴名单；杭州额度申领与兑付分开，2026年度额度申领截至12月10日；滨江新措施2026年9月11日起施行，当前9月7日尚未施行；上海市级算力券明确不包括存储、网络、安全等服务，不能将整笔充值作为合格算力费用。[P1—P4]</w:t>
      </w:r>
    </w:p>
    <w:p>
      <w:r>
        <w:rPr>
          <w:rFonts w:ascii="Noto Sans CJK SC" w:hAnsi="Noto Sans CJK SC" w:eastAsia="Noto Sans CJK SC"/>
          <w:b w:val="0"/>
          <w:sz w:val="20"/>
        </w:rPr>
        <w:t>若项目从2026年9月启动并运行六个月，将跨至2027年。2026通知不能证明2027服务费用可补，应按服务期逐月拆账。奇绩免费算力不假定产生本公司可申报的现金租赁支出。</w:t>
      </w:r>
    </w:p>
    <w:p>
      <w:r>
        <w:rPr>
          <w:rFonts w:ascii="Noto Sans CJK SC" w:hAnsi="Noto Sans CJK SC" w:eastAsia="Noto Sans CJK SC"/>
          <w:b w:val="0"/>
          <w:sz w:val="20"/>
        </w:rPr>
        <w:t>主体、项目、合同、付款、发票与资源使用应一致。先确认真实经营与费用归属，不为补助上限重复设立子公司，不追溯搬移历史费用、不重复申报。具体资格和财税处理由财务、专业顾问及主管部门核定。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执行安排、审批与依据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十、开通与验收节奏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5046"/>
      </w:tblGrid>
      <w:tr>
        <w:trPr>
          <w:cantSplit/>
          <w:tblHeader/>
        </w:trPr>
        <w:tc>
          <w:tcPr>
            <w:tcW w:type="dxa" w:w="226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243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资金使用原则</w:t>
            </w:r>
          </w:p>
        </w:tc>
        <w:tc>
          <w:tcPr>
            <w:tcW w:type="dxa" w:w="5046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必须提交的证据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批准后1—2周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先开预发布和必要服务，不一次全开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企业账号、正式报价、合同/退款/续费条款；10名开发者分权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第1个月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保持现有生产可回退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真实录音上传/撤回、重复回执、账号隔离与恢复测试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第2—3个月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通过门槛再开双Backend与双Worker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持久事件、跨实例互斥/幂等、采集峰值及RTC分项压测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第3个月检查点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累计不超过60,000元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实际消费、有效采集量、合格率、队列积压与单位有效小时成本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第4—6个月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通过复盘继续投入；预留额单批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训练导出与撤回追踪、备份恢复、容量趋势和下一期成本预测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0"/>
        </w:rPr>
        <w:t>验收目标需在压测前冻结，生产保护指标以仓库Harness规则为准，不因本预算文件放宽。任一跨账号泄露、撤回复活、无授权导出或账单异常均停止扩大流量；必要时退回单Backend和已验证的小流量模式，不删除数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十一、财务与审批执行</w:t>
      </w:r>
    </w:p>
    <w:p>
      <w:r>
        <w:rPr>
          <w:rFonts w:ascii="Noto Sans CJK SC" w:hAnsi="Noto Sans CJK SC" w:eastAsia="Noto Sans CJK SC"/>
          <w:b w:val="0"/>
          <w:sz w:val="20"/>
        </w:rPr>
        <w:t>每周由技术负责人提交资源和API用量；财务每月对账，区分账户余额、已发生费用、已承诺合同及未到期赠额。建议80%预算预警、100%停止新增非必要资源；这不是停止保存用户数据或直接关闭生产服务的授权。</w:t>
      </w:r>
    </w:p>
    <w:p>
      <w:r>
        <w:rPr>
          <w:rFonts w:ascii="Noto Sans CJK SC" w:hAnsi="Noto Sans CJK SC" w:eastAsia="Noto Sans CJK SC"/>
          <w:b w:val="0"/>
          <w:sz w:val="20"/>
        </w:rPr>
        <w:t>充值前确认：账号归公司控制、实名认证与发票抬头、赠额生效时间及使用顺序、未使用余额退款条件、包年包月退订损失、自动续费策略、资源包地域限制及经销商/云市场费用是否可抵扣。除非专项批准，不作长周期GPU包销、不为补贴迁移账号与数据。</w:t>
      </w:r>
    </w:p>
    <w:p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不包含的费用：</w:t>
      </w:r>
      <w:r>
        <w:rPr>
          <w:rFonts w:ascii="Noto Sans CJK SC" w:hAnsi="Noto Sans CJK SC" w:eastAsia="Noto Sans CJK SC"/>
          <w:b w:val="0"/>
          <w:sz w:val="20"/>
        </w:rPr>
        <w:t xml:space="preserve"> 用户采集报酬、10名开发者工资、GPU及训练热存储/50TB持久存储/高速互联、大规模人工质检、法律合规与运营费用、子公司设立及办公成本、非阿里云订阅。它们需另有资金安排，不能将12万元称为项目全成本。</w:t>
      </w:r>
    </w:p>
    <w:p>
      <w:r>
        <w:rPr>
          <w:rFonts w:ascii="Noto Sans CJK SC" w:hAnsi="Noto Sans CJK SC" w:eastAsia="Noto Sans CJK SC"/>
          <w:b w:val="0"/>
          <w:sz w:val="20"/>
        </w:rPr>
        <w:t>审批人：________________　审批日期：________________</w:t>
      </w:r>
    </w:p>
    <w:p>
      <w:r>
        <w:rPr>
          <w:rFonts w:ascii="Noto Sans CJK SC" w:hAnsi="Noto Sans CJK SC" w:eastAsia="Noto Sans CJK SC"/>
          <w:b w:val="0"/>
          <w:sz w:val="20"/>
        </w:rPr>
        <w:t>申请负责人：____________　财务复核人：______________</w:t>
      </w:r>
    </w:p>
    <w:p>
      <w:r>
        <w:rPr>
          <w:rFonts w:ascii="Noto Sans CJK SC" w:hAnsi="Noto Sans CJK SC" w:eastAsia="Noto Sans CJK SC"/>
          <w:b w:val="0"/>
          <w:sz w:val="20"/>
        </w:rPr>
        <w:t>审批意见：同意／调整后同意／暂缓。首次充值金额：________；扩容需单独审批。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主要依据与适用说明</w:t>
      </w:r>
    </w:p>
    <w:p>
      <w:r>
        <w:rPr>
          <w:rFonts w:ascii="Noto Sans CJK SC" w:hAnsi="Noto Sans CJK SC" w:eastAsia="Noto Sans CJK SC"/>
          <w:b w:val="0"/>
          <w:sz w:val="20"/>
        </w:rPr>
        <w:t>[L1] 当前项目摘要及《语音采集、扩容与控制面统一执行手册》；[L2] Web数据采集说明与训练链路；[L3] livekit_agent/config.py。均为仓库记录/代码核对，本次未重新开展生产压测。</w:t>
      </w:r>
    </w:p>
    <w:p>
      <w:r>
        <w:rPr>
          <w:rFonts w:ascii="Noto Sans CJK SC" w:hAnsi="Noto Sans CJK SC" w:eastAsia="Noto Sans CJK SC"/>
          <w:b w:val="0"/>
          <w:sz w:val="20"/>
        </w:rPr>
        <w:t>[A1] 阿里云百炼产品页；[A2] 百炼模型价格（北京地域指定型号）。[P1] 余杭2026年8月6日第二批伙伴拟认定公示；[P2] 杭州市2026年算力券兑付通知；[P3] 滨江杭高新〔2026〕6号；[P4] 上海“模塑申城”沪经信智〔2026〕248号。官方来源链接及核验限制见配套谈判文档“依据索引”。</w:t>
      </w:r>
    </w:p>
    <w:p>
      <w:r>
        <w:rPr>
          <w:rFonts w:ascii="Noto Sans CJK SC" w:hAnsi="Noto Sans CJK SC" w:eastAsia="Noto Sans CJK SC"/>
          <w:b w:val="0"/>
          <w:sz w:val="20"/>
        </w:rPr>
        <w:t>参考原件：《上海、杭州算力政策及业务布局建议》，8页，2026年9月7日。本文为内部审批建议，不是云厂商报价、补贴资格认定或投资回报保证。后续商业条款以签署文件及主管部门确认口径为准。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官方来源链接</w:t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1">
        <w:r>
          <w:rPr>
            <w:color w:val="146B70"/>
            <w:rFonts w:eastAsia="Noto Sans CJK SC"/>
          </w:rPr>
          <w:t>A1 · 大模型服务平台百炼 - 大模型应用构建 - 阿里云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2">
        <w:r>
          <w:rPr>
            <w:color w:val="146B70"/>
            <w:rFonts w:eastAsia="Noto Sans CJK SC"/>
          </w:rPr>
          <w:t>A2 · 阿里云百炼模型价格-大模型服务平台百炼(Model Studio)-阿里云帮助中心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3">
        <w:r>
          <w:rPr>
            <w:color w:val="146B70"/>
            <w:rFonts w:eastAsia="Noto Sans CJK SC"/>
          </w:rPr>
          <w:t>P1 · 关于拟认定余杭区算力伙伴（第二批）的公示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4">
        <w:r>
          <w:rPr>
            <w:color w:val="146B70"/>
            <w:rFonts w:eastAsia="Noto Sans CJK SC"/>
          </w:rPr>
          <w:t>P2 · 杭州市经信局（市数字经济局）关于组织开展2026年算力券兑付申报的通知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5">
        <w:r>
          <w:rPr>
            <w:color w:val="146B70"/>
            <w:rFonts w:eastAsia="Noto Sans CJK SC"/>
          </w:rPr>
          <w:t>P3 · 杭州高新开发区（滨江）管委会、政府关于印发杭州高新开发区（滨江）进一步加快新一代人工智能产业应用发展若干措施的通知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6">
        <w:r>
          <w:rPr>
            <w:color w:val="146B70"/>
            <w:rFonts w:eastAsia="Noto Sans CJK SC"/>
          </w:rPr>
          <w:t>P4 · 上海市经济信息化委关于组织2026年度上海市“模塑申城”工程相关补贴申报工作的通知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77" w:bottom="850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sz w:val="16"/>
      </w:rPr>
      <w:t xml:space="preserve">2026年9月7日  ·  内部审批稿        第 </w:t>
    </w:r>
    <w:fldSimple w:instr="PAGE"/>
    <w:r>
      <w:rPr>
        <w:rFonts w:ascii="Noto Sans CJK SC" w:hAnsi="Noto Sans CJK SC" w:eastAsia="Noto Sans CJK SC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sz w:val="16"/>
      </w:rPr>
      <w:t>生声不息  /  阿里云第一期充值申请说明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74D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74D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Noto Sans CJK SC" w:hAnsi="Noto Sans CJK SC"/>
      <w:color w:val="174D5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liyun.com/product/bailian" TargetMode="External"/><Relationship Id="rId12" Type="http://schemas.openxmlformats.org/officeDocument/2006/relationships/hyperlink" Target="https://help.aliyun.com/zh/model-studio/model-pricing" TargetMode="External"/><Relationship Id="rId13" Type="http://schemas.openxmlformats.org/officeDocument/2006/relationships/hyperlink" Target="https://www.yuhang.gov.cn/col/col1229175234/art/2026/art_8451eb8324864752a8d121df2a8007d4.html" TargetMode="External"/><Relationship Id="rId14" Type="http://schemas.openxmlformats.org/officeDocument/2006/relationships/hyperlink" Target="https://jxj.hangzhou.gov.cn/col/col1229252271/art/2026/art_87786d11012e4295b52fdf3bce943872.html" TargetMode="External"/><Relationship Id="rId15" Type="http://schemas.openxmlformats.org/officeDocument/2006/relationships/hyperlink" Target="https://www.hhtz.gov.cn/col/col1229225928/art/2026/art_5a167e13c395414abfc95de936cd5813.html" TargetMode="External"/><Relationship Id="rId16" Type="http://schemas.openxmlformats.org/officeDocument/2006/relationships/hyperlink" Target="https://sheitc.sh.gov.cn/cyfz/20260507/cd1dcb1e5cb4449cbc36c69befafcc0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阿里云第一期充值申请说明</dc:title>
  <dc:subject>第一期云资源规划｜2026年9月7日｜待审批/征询</dc:subject>
  <dc:creator>上海生声不息科技有限公司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