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/>
          <w:b w:val="0"/>
          <w:sz w:val="46"/>
        </w:rPr>
        <w:t>阿里云算力规划与商务谈判方案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32"/>
        </w:rPr>
        <w:t>第一期3—6个月｜需求征询稿｜2026年9月7日</w:t>
      </w:r>
    </w:p>
    <w:p>
      <w:r>
        <w:rPr>
          <w:rFonts w:ascii="Noto Sans CJK SC" w:hAnsi="Noto Sans CJK SC" w:eastAsia="Noto Sans CJK SC"/>
          <w:b w:val="0"/>
          <w:sz w:val="20"/>
        </w:rPr>
        <w:t>项目：生声不息／VoxFlame　拟签约主体：由双方核对实名认证、实际使用及发票主体后确定。</w:t>
      </w:r>
    </w:p>
    <w:p>
      <w:r>
        <w:rPr>
          <w:rFonts w:ascii="Noto Sans CJK SC" w:hAnsi="Noto Sans CJK SC" w:eastAsia="Noto Sans CJK SC"/>
          <w:b w:val="0"/>
          <w:sz w:val="20"/>
        </w:rPr>
        <w:t>本稿供团队准备谈判及经负责人审阅后向阿里云征询；不构成采购订单、保底消费、GPU交付承诺或补贴申报。内部充值申请金额和最高预算不作为供应商报价锚点，不在本稿披露。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sz w:val="24"/>
        </w:rPr>
        <w:t>一、合作目标与采购分包</w:t>
      </w:r>
    </w:p>
    <w:p>
      <w:r>
        <w:rPr>
          <w:rFonts w:ascii="Noto Sans CJK SC" w:hAnsi="Noto Sans CJK SC" w:eastAsia="Noto Sans CJK SC"/>
          <w:b w:val="0"/>
          <w:sz w:val="20"/>
        </w:rPr>
        <w:t>第一期拟服务约1,000名用户、采集约20,000小时语音，支持10名开发者、主站、采集站与后续多应用。自研ASR为主，阿里云ASR为有限补充和故障回退，TTS较少，LLM用于表达纠错、对话、报告和记忆整理。</w:t>
      </w:r>
    </w:p>
    <w:p>
      <w:r>
        <w:rPr>
          <w:rFonts w:ascii="Noto Sans CJK SC" w:hAnsi="Noto Sans CJK SC" w:eastAsia="Noto Sans CJK SC"/>
          <w:b w:val="0"/>
          <w:sz w:val="20"/>
        </w:rPr>
        <w:t>已有奇绩算力支持（团队提供，尚未核对支持合同、剩余额度与到期日）。阿里云合作优先解决基础云服务、API额度、稳定连接、弹性GPU补充和后续同构扩容，而非立即替换已有支持。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438"/>
        <w:gridCol w:w="5046"/>
      </w:tblGrid>
      <w:tr>
        <w:trPr>
          <w:cantSplit/>
          <w:tblHeader/>
        </w:trPr>
        <w:tc>
          <w:tcPr>
            <w:tcW w:type="dxa" w:w="2268"/>
            <w:shd w:fill="E9F0EF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询价包</w:t>
            </w:r>
          </w:p>
        </w:tc>
        <w:tc>
          <w:tcPr>
            <w:tcW w:type="dxa" w:w="2438"/>
            <w:shd w:fill="E9F0EF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范围</w:t>
            </w:r>
          </w:p>
        </w:tc>
        <w:tc>
          <w:tcPr>
            <w:tcW w:type="dxa" w:w="5046"/>
            <w:shd w:fill="E9F0EF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当前决策状态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A：基础云</w:t>
            </w:r>
          </w:p>
        </w:tc>
        <w:tc>
          <w:tcPr>
            <w:tcW w:type="dxa" w:w="243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CPU、业务OSS、网络、状态服务、安全、日志与研发协作</w:t>
            </w:r>
          </w:p>
        </w:tc>
        <w:tc>
          <w:tcPr>
            <w:tcW w:type="dxa" w:w="5046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优先报价，按里程碑开通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B：模型API</w:t>
            </w:r>
          </w:p>
        </w:tc>
        <w:tc>
          <w:tcPr>
            <w:tcW w:type="dxa" w:w="243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ASR回退、少量TTS、Flash/Plus文本处理、配额与赠额</w:t>
            </w:r>
          </w:p>
        </w:tc>
        <w:tc>
          <w:tcPr>
            <w:tcW w:type="dxa" w:w="5046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固定模型、地域及账单规则后小规模验证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C：GPU与训练存储</w:t>
            </w:r>
          </w:p>
        </w:tc>
        <w:tc>
          <w:tcPr>
            <w:tcW w:type="dxa" w:w="243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8×RTX 5090、8×H20候选，持久存储及机房网络</w:t>
            </w:r>
          </w:p>
        </w:tc>
        <w:tc>
          <w:tcPr>
            <w:tcW w:type="dxa" w:w="5046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独立报价和实测，未批准包租或采购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D：政策协同</w:t>
            </w:r>
          </w:p>
        </w:tc>
        <w:tc>
          <w:tcPr>
            <w:tcW w:type="dxa" w:w="243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服务商资格、可申报SKU、费用明细与使用证明</w:t>
            </w:r>
          </w:p>
        </w:tc>
        <w:tc>
          <w:tcPr>
            <w:tcW w:type="dxa" w:w="5046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阿里云提供材料，主管部门认定资格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b w:val="0"/>
          <w:sz w:val="20"/>
        </w:rPr>
      </w:r>
      <w:r>
        <w:rPr>
          <w:rFonts w:ascii="Noto Sans CJK SC" w:hAnsi="Noto Sans CJK SC" w:eastAsia="Noto Sans CJK SC"/>
          <w:b/>
          <w:sz w:val="20"/>
        </w:rPr>
        <w:t>请求阿里云提供两套可比较方案：</w:t>
      </w:r>
      <w:r>
        <w:rPr>
          <w:rFonts w:ascii="Noto Sans CJK SC" w:hAnsi="Noto Sans CJK SC" w:eastAsia="Noto Sans CJK SC"/>
          <w:b w:val="0"/>
          <w:sz w:val="20"/>
        </w:rPr>
        <w:t xml:space="preserve"> ①沿用奇绩GPU、阿里云承接业务及必要补充；②阿里云或合规生态伙伴提供两台GPU候选。另列3个月、6个月价格和按需/包月/短租可选项，不将GPU承诺消费与基础云优惠强制捆绑。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sz w:val="24"/>
        </w:rPr>
        <w:t>二、谈判优先顺序</w:t>
      </w:r>
    </w:p>
    <w:p>
      <w:r>
        <w:rPr>
          <w:rFonts w:ascii="Noto Sans CJK SC" w:hAnsi="Noto Sans CJK SC" w:eastAsia="Noto Sans CJK SC"/>
          <w:b w:val="0"/>
          <w:sz w:val="20"/>
        </w:rPr>
        <w:t>先确认需求与资源可交付性，再按SKU拆分报价，随后谈折扣、赠额、试用、配额和账期；最后落实政策材料与验收退出条款。优先争取可验证的低总成本和弹性，不用宣传补贴上限替代现金流安排。</w:t>
      </w:r>
    </w:p>
    <w:p>
      <w:r>
        <w:rPr>
          <w:rFonts w:ascii="Noto Sans CJK SC" w:hAnsi="Noto Sans CJK SC" w:eastAsia="Noto Sans CJK SC"/>
          <w:b w:val="0"/>
          <w:sz w:val="20"/>
        </w:rPr>
        <w:t>本次期望获得：具名技术与商务负责人、同口径书面报价、可预约的真实任务试机、配额书面答复、逐主体账单方案和合同偏离清单。产品能力和优惠未确认时，接受标注“未提供／待确认”，不接受口头承诺代替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32"/>
        </w:rPr>
        <w:t>业务容量与CPU基础资源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sz w:val="24"/>
        </w:rPr>
        <w:t>三、分清六种容量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438"/>
        <w:gridCol w:w="5046"/>
      </w:tblGrid>
      <w:tr>
        <w:trPr>
          <w:cantSplit/>
          <w:tblHeader/>
        </w:trPr>
        <w:tc>
          <w:tcPr>
            <w:tcW w:type="dxa" w:w="2268"/>
            <w:shd w:fill="E9F0EF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维度</w:t>
            </w:r>
          </w:p>
        </w:tc>
        <w:tc>
          <w:tcPr>
            <w:tcW w:type="dxa" w:w="2438"/>
            <w:shd w:fill="E9F0EF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第一阶段需求口径</w:t>
            </w:r>
          </w:p>
        </w:tc>
        <w:tc>
          <w:tcPr>
            <w:tcW w:type="dxa" w:w="5046"/>
            <w:shd w:fill="E9F0EF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不应混淆的边界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用户总量</w:t>
            </w:r>
          </w:p>
        </w:tc>
        <w:tc>
          <w:tcPr>
            <w:tcW w:type="dxa" w:w="243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约1,000名用户</w:t>
            </w:r>
          </w:p>
        </w:tc>
        <w:tc>
          <w:tcPr>
            <w:tcW w:type="dxa" w:w="5046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不等于1,000名同时在线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总采集量</w:t>
            </w:r>
          </w:p>
        </w:tc>
        <w:tc>
          <w:tcPr>
            <w:tcW w:type="dxa" w:w="243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约20,000小时新增目标</w:t>
            </w:r>
          </w:p>
        </w:tc>
        <w:tc>
          <w:tcPr>
            <w:tcW w:type="dxa" w:w="5046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既有约10,000小时为团队输入，来源与可训练比例待对账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平均录音并发</w:t>
            </w:r>
          </w:p>
        </w:tc>
        <w:tc>
          <w:tcPr>
            <w:tcW w:type="dxa" w:w="243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90天约28人；180天约14人</w:t>
            </w:r>
          </w:p>
        </w:tc>
        <w:tc>
          <w:tcPr>
            <w:tcW w:type="dxa" w:w="5046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基于每天8小时，不含读题与休息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上传峰值场景</w:t>
            </w:r>
          </w:p>
        </w:tc>
        <w:tc>
          <w:tcPr>
            <w:tcW w:type="dxa" w:w="243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3个月80—150路；6个月40—80路</w:t>
            </w:r>
          </w:p>
        </w:tc>
        <w:tc>
          <w:tcPr>
            <w:tcW w:type="dxa" w:w="5046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指突发上传压测，不能直接换算RTC路数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动态业务请求</w:t>
            </w:r>
          </w:p>
        </w:tc>
        <w:tc>
          <w:tcPr>
            <w:tcW w:type="dxa" w:w="243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总计约3,000万—5,000万次</w:t>
            </w:r>
          </w:p>
        </w:tc>
        <w:tc>
          <w:tcPr>
            <w:tcW w:type="dxa" w:w="5046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90天8小时窗口平均约11.6—19.3RPS，180天约5.8—9.6RPS；峰值须实测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实时AI会话</w:t>
            </w:r>
          </w:p>
        </w:tc>
        <w:tc>
          <w:tcPr>
            <w:tcW w:type="dxa" w:w="243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单Worker既有8路完整链路证据</w:t>
            </w:r>
          </w:p>
        </w:tc>
        <w:tc>
          <w:tcPr>
            <w:tcW w:type="dxa" w:w="5046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双Worker先验证16路；不能承诺80—150路RTC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b w:val="0"/>
          <w:sz w:val="20"/>
        </w:rPr>
        <w:t>现有采集界面包含实时识别，必须检查80—150路采集时是否同样占用Agent。若每名采集者都要全程RTC，本CPU配置不能直接满足目标。建议先用预约/准入控制限制实时识别，验证录音可保存、识别可排队的方案；未经实现与验收，不把它当作现成功能。[L1—L3]</w:t>
      </w:r>
    </w:p>
    <w:p>
      <w:r>
        <w:rPr>
          <w:rFonts w:ascii="Noto Sans CJK SC" w:hAnsi="Noto Sans CJK SC" w:eastAsia="Noto Sans CJK SC"/>
          <w:b w:val="0"/>
          <w:sz w:val="20"/>
        </w:rPr>
        <w:t>16kHz单声道16-bit音频约256kbps。150人连续产生原始音频约38.4Mbps；若150人同时把各自10秒文件在1秒内补传，则瞬时约384Mbps（均未含协议开销）。应测OSS直传和客户端补传行为，而不是给Backend购买同等音频中转带宽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sz w:val="24"/>
        </w:rPr>
        <w:t>四、7台CPU候选表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94"/>
        <w:gridCol w:w="2494"/>
        <w:gridCol w:w="4025"/>
      </w:tblGrid>
      <w:tr>
        <w:trPr>
          <w:cantSplit/>
          <w:tblHeader/>
        </w:trPr>
        <w:tc>
          <w:tcPr>
            <w:tcW w:type="dxa" w:w="2438"/>
            <w:shd w:fill="E9F0EF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用途</w:t>
            </w:r>
          </w:p>
        </w:tc>
        <w:tc>
          <w:tcPr>
            <w:tcW w:type="dxa" w:w="794"/>
            <w:shd w:fill="E9F0EF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数量</w:t>
            </w:r>
          </w:p>
        </w:tc>
        <w:tc>
          <w:tcPr>
            <w:tcW w:type="dxa" w:w="2494"/>
            <w:shd w:fill="E9F0EF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单台候选规格</w:t>
            </w:r>
          </w:p>
        </w:tc>
        <w:tc>
          <w:tcPr>
            <w:tcW w:type="dxa" w:w="4025"/>
            <w:shd w:fill="E9F0EF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开通条件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主站前端</w:t>
            </w:r>
          </w:p>
        </w:tc>
        <w:tc>
          <w:tcPr>
            <w:tcW w:type="dxa" w:w="794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2494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4 vCPU／8GB</w:t>
            </w:r>
          </w:p>
        </w:tc>
        <w:tc>
          <w:tcPr>
            <w:tcW w:type="dxa" w:w="4025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基础运行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第二前端、预发布及有界批处理</w:t>
            </w:r>
          </w:p>
        </w:tc>
        <w:tc>
          <w:tcPr>
            <w:tcW w:type="dxa" w:w="794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2494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8 vCPU／16GB</w:t>
            </w:r>
          </w:p>
        </w:tc>
        <w:tc>
          <w:tcPr>
            <w:tcW w:type="dxa" w:w="4025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第二品牌接线；CPU/内存隔离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Backend控制面</w:t>
            </w:r>
          </w:p>
        </w:tc>
        <w:tc>
          <w:tcPr>
            <w:tcW w:type="dxa" w:w="794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  <w:tc>
          <w:tcPr>
            <w:tcW w:type="dxa" w:w="2494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4 vCPU／8GB</w:t>
            </w:r>
          </w:p>
        </w:tc>
        <w:tc>
          <w:tcPr>
            <w:tcW w:type="dxa" w:w="4025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第二实例先备用，多实例安全验收后双写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LiveKit媒体节点</w:t>
            </w:r>
          </w:p>
        </w:tc>
        <w:tc>
          <w:tcPr>
            <w:tcW w:type="dxa" w:w="794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2494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8 vCPU／16GB</w:t>
            </w:r>
          </w:p>
        </w:tc>
        <w:tc>
          <w:tcPr>
            <w:tcW w:type="dxa" w:w="4025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独立媒体入口、UDP/TURN验证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Agent Worker</w:t>
            </w:r>
          </w:p>
        </w:tc>
        <w:tc>
          <w:tcPr>
            <w:tcW w:type="dxa" w:w="794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  <w:tc>
          <w:tcPr>
            <w:tcW w:type="dxa" w:w="2494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8 vCPU／16GB</w:t>
            </w:r>
          </w:p>
        </w:tc>
        <w:tc>
          <w:tcPr>
            <w:tcW w:type="dxa" w:w="4025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集中配额、ASR容量与真实RTC验收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总计</w:t>
            </w:r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  <w:tc>
          <w:tcPr>
            <w:tcW w:type="dxa" w:w="794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7</w:t>
            </w:r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44 vCPU／88GB</w:t>
            </w:r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  <w:tc>
          <w:tcPr>
            <w:tcW w:type="dxa" w:w="4025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候选容量，不是性能保证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b w:val="0"/>
          <w:sz w:val="20"/>
        </w:rPr>
        <w:t>要求报价注明实例族/代际、地域/可用区、系统盘与数据盘、带宽/EIP、流量/包月计费、折扣到期及续费价格。托管缓存、LB、数据库备份、SLS、镜像仓库单列，不藏入“7台服务器”。</w:t>
      </w:r>
    </w:p>
    <w:p>
      <w:r>
        <w:rPr>
          <w:rFonts w:ascii="Noto Sans CJK SC" w:hAnsi="Noto Sans CJK SC" w:eastAsia="Noto Sans CJK SC"/>
          <w:b w:val="0"/>
          <w:sz w:val="20"/>
        </w:rPr>
        <w:t>Backend的持久事件与幂等以现有Postgres/Supabase为先，不为双实例新增第二套数据事实源。LiveKit仍为单节点故障域；两台Backend/Agent不等于整站高可用。具体实施与保护指标遵循现役控制面手册及Harness规则。[L1]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32"/>
        </w:rPr>
        <w:t>GPU算力规划：候选需求，不提前冻结型号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sz w:val="24"/>
        </w:rPr>
        <w:t>五、两个独立GPU节点</w:t>
      </w:r>
    </w:p>
    <w:p>
      <w:r>
        <w:rPr>
          <w:rFonts w:ascii="Noto Sans CJK SC" w:hAnsi="Noto Sans CJK SC" w:eastAsia="Noto Sans CJK SC"/>
          <w:b w:val="0"/>
          <w:sz w:val="20"/>
        </w:rPr>
        <w:t>当前约10,000小时语音为团队提供的规划基础；第一期新增20,000小时是否与其重叠须确认。仅凭音频小时数，不能推出需要两台8卡GPU，应以模型规模、训练配方、吞吐、频次、截止时间及既有支持可用量测算。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883"/>
        <w:gridCol w:w="3883"/>
      </w:tblGrid>
      <w:tr>
        <w:trPr>
          <w:cantSplit/>
          <w:tblHeader/>
        </w:trPr>
        <w:tc>
          <w:tcPr>
            <w:tcW w:type="dxa" w:w="1984"/>
            <w:shd w:fill="E9F0EF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参数</w:t>
            </w:r>
          </w:p>
        </w:tc>
        <w:tc>
          <w:tcPr>
            <w:tcW w:type="dxa" w:w="3883"/>
            <w:shd w:fill="E9F0EF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节点一：训练主节点</w:t>
            </w:r>
          </w:p>
        </w:tc>
        <w:tc>
          <w:tcPr>
            <w:tcW w:type="dxa" w:w="3883"/>
            <w:shd w:fill="E9F0EF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节点二：吞吐/实验节点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GPU候选</w:t>
            </w:r>
          </w:p>
        </w:tc>
        <w:tc>
          <w:tcPr>
            <w:tcW w:type="dxa" w:w="3883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8×H20，准确料号/形态待确认</w:t>
            </w:r>
          </w:p>
        </w:tc>
        <w:tc>
          <w:tcPr>
            <w:tcW w:type="dxa" w:w="3883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8×RTX 5090，准确地区型号待确认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拟承担任务</w:t>
            </w:r>
          </w:p>
        </w:tc>
        <w:tc>
          <w:tcPr>
            <w:tcW w:type="dxa" w:w="3883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全参数训练、大显存及长序列任务</w:t>
            </w:r>
          </w:p>
        </w:tc>
        <w:tc>
          <w:tcPr>
            <w:tcW w:type="dxa" w:w="3883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微调、数据处理、批量推理、评测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主机内存目标</w:t>
            </w:r>
          </w:p>
        </w:tc>
        <w:tc>
          <w:tcPr>
            <w:tcW w:type="dxa" w:w="3883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1—2TB</w:t>
            </w:r>
          </w:p>
        </w:tc>
        <w:tc>
          <w:tcPr>
            <w:tcW w:type="dxa" w:w="3883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512GB—1TB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本地NVMe目标</w:t>
            </w:r>
          </w:p>
        </w:tc>
        <w:tc>
          <w:tcPr>
            <w:tcW w:type="dxa" w:w="3883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20—30TB可用热数据空间</w:t>
            </w:r>
          </w:p>
        </w:tc>
        <w:tc>
          <w:tcPr>
            <w:tcW w:type="dxa" w:w="3883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20—30TB可用热数据空间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CPU与拓扑</w:t>
            </w:r>
          </w:p>
        </w:tc>
        <w:tc>
          <w:tcPr>
            <w:tcW w:type="dxa" w:w="3883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按供数实测选型；列双路/NUMA及PCIe拓扑</w:t>
            </w:r>
          </w:p>
        </w:tc>
        <w:tc>
          <w:tcPr>
            <w:tcW w:type="dxa" w:w="3883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明确8卡实际链路宽度、插槽与NIC/SSD争用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调度</w:t>
            </w:r>
          </w:p>
        </w:tc>
        <w:tc>
          <w:tcPr>
            <w:tcW w:type="dxa" w:w="3883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与另一异构节点独立作业</w:t>
            </w:r>
          </w:p>
        </w:tc>
        <w:tc>
          <w:tcPr>
            <w:tcW w:type="dxa" w:w="3883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以独立任务和数据并行为优先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当前状态</w:t>
            </w:r>
          </w:p>
        </w:tc>
        <w:tc>
          <w:tcPr>
            <w:tcW w:type="dxa" w:w="3883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全部为候选需求，待书面报价/试机</w:t>
            </w:r>
          </w:p>
        </w:tc>
        <w:tc>
          <w:tcPr>
            <w:tcW w:type="dxa" w:w="3883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整机可行性、供货与许可条件待确认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b w:val="0"/>
          <w:sz w:val="20"/>
        </w:rPr>
        <w:t>不混合两种GPU做同步训练。是否采用容器或现有任务调度工具，按团队工作流选择；10名开发者共享任务队列、配额与项目空间，不承诺10人各自独占GPU。在线自研ASR必须保留独立推理配额或实例，不能因离线训练抢占而迫使业务长期使用收费云ASR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sz w:val="24"/>
        </w:rPr>
        <w:t>六、需要在谈判前纠正的硬件假设</w:t>
      </w:r>
    </w:p>
    <w:p>
      <w:r>
        <w:rPr>
          <w:rFonts w:ascii="Noto Sans CJK SC" w:hAnsi="Noto Sans CJK SC" w:eastAsia="Noto Sans CJK SC"/>
          <w:b w:val="0"/>
          <w:sz w:val="20"/>
        </w:rPr>
        <w:t>1. NVIDIA公开的RTX 5090规格为单卡32GB GDDR7、无NVLink、显卡功耗575W；8卡显存算术合计256GB，不是单一连续显存池，8卡GPU功耗算术合计约4.6kW，也不是整机功耗。该原厂页面不证明中国大陆可交付型号、八卡机箱兼容、机房托管及商业许可。[N1]</w:t>
      </w:r>
    </w:p>
    <w:p>
      <w:r>
        <w:rPr>
          <w:rFonts w:ascii="Noto Sans CJK SC" w:hAnsi="Noto Sans CJK SC" w:eastAsia="Noto Sans CJK SC"/>
          <w:b w:val="0"/>
          <w:sz w:val="20"/>
        </w:rPr>
        <w:t>2. 必须让供方明确交付5090、5090 D或其他地区/后继型号，不接受只写“5090级别”。确认制造商、显存、驱动/CUDA/训练框架兼容、P2P、散热、供电、噪声、质保及机房使用授权。无NVLink并不等于不能多卡计算，但扩展效率只能实测。</w:t>
      </w:r>
    </w:p>
    <w:p>
      <w:r>
        <w:rPr>
          <w:rFonts w:ascii="Noto Sans CJK SC" w:hAnsi="Noto Sans CJK SC" w:eastAsia="Noto Sans CJK SC"/>
          <w:b w:val="0"/>
          <w:sz w:val="20"/>
        </w:rPr>
        <w:t>3. H20不能仅凭型号简称推定显存容量、NVLink/NVSwitch拓扑或供货日期。要求准确SKU、每卡显存、互联拓扑、出口/销售合规材料、交付机房、维护支持和可替代型号；本次未取得一手H20配置文件或书面供货承诺。</w:t>
      </w:r>
    </w:p>
    <w:p>
      <w:r>
        <w:rPr>
          <w:rFonts w:ascii="Noto Sans CJK SC" w:hAnsi="Noto Sans CJK SC" w:eastAsia="Noto Sans CJK SC"/>
          <w:b w:val="0"/>
          <w:sz w:val="20"/>
        </w:rPr>
        <w:t>4. 若阿里云不能提供这两种裸机，不假定其公共云有对应产品。要求分别报价合法可交付的大显存训练替代与高吞吐推理替代；若涉及生态伙伴，明确签约方、发票方、SLA及数据处理责任。</w:t>
      </w:r>
    </w:p>
    <w:p>
      <w:r>
        <w:rPr>
          <w:rFonts w:ascii="Noto Sans CJK SC" w:hAnsi="Noto Sans CJK SC" w:eastAsia="Noto Sans CJK SC"/>
          <w:b w:val="0"/>
          <w:sz w:val="20"/>
        </w:rPr>
      </w:r>
      <w:r>
        <w:rPr>
          <w:rFonts w:ascii="Noto Sans CJK SC" w:hAnsi="Noto Sans CJK SC" w:eastAsia="Noto Sans CJK SC"/>
          <w:b/>
          <w:sz w:val="20"/>
        </w:rPr>
        <w:t>替代基线：</w:t>
      </w:r>
      <w:r>
        <w:rPr>
          <w:rFonts w:ascii="Noto Sans CJK SC" w:hAnsi="Noto Sans CJK SC" w:eastAsia="Noto Sans CJK SC"/>
          <w:b w:val="0"/>
          <w:sz w:val="20"/>
        </w:rPr>
        <w:t xml:space="preserve"> 先试用奇绩现有资源和1/2/4/8卡方案，再比较“专属裸机、弹性云GPU、现有支持＋高峰短租”的每个有效训练任务总成本。未完成验证，不冻结BOM或承诺长租。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32"/>
        </w:rPr>
        <w:t>存储、网络与总成本边界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sz w:val="24"/>
        </w:rPr>
        <w:t>七、不要把三层存储当成三份原始数据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438"/>
        <w:gridCol w:w="5046"/>
      </w:tblGrid>
      <w:tr>
        <w:trPr>
          <w:cantSplit/>
          <w:tblHeader/>
        </w:trPr>
        <w:tc>
          <w:tcPr>
            <w:tcW w:type="dxa" w:w="2268"/>
            <w:shd w:fill="E9F0EF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层级</w:t>
            </w:r>
          </w:p>
        </w:tc>
        <w:tc>
          <w:tcPr>
            <w:tcW w:type="dxa" w:w="2438"/>
            <w:shd w:fill="E9F0EF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候选容量与用途</w:t>
            </w:r>
          </w:p>
        </w:tc>
        <w:tc>
          <w:tcPr>
            <w:tcW w:type="dxa" w:w="5046"/>
            <w:shd w:fill="E9F0EF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报价、验收要求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业务数据层</w:t>
            </w:r>
          </w:p>
        </w:tc>
        <w:tc>
          <w:tcPr>
            <w:tcW w:type="dxa" w:w="243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6—10TB OSS，原录音、状态文件、标准化副本及备份</w:t>
            </w:r>
          </w:p>
        </w:tc>
        <w:tc>
          <w:tcPr>
            <w:tcW w:type="dxa" w:w="5046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按平均占用、请求、下载、生命周期及恢复计费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训练持久层</w:t>
            </w:r>
          </w:p>
        </w:tc>
        <w:tc>
          <w:tcPr>
            <w:tcW w:type="dxa" w:w="243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约50TB可用逻辑空间，扩展至100TB</w:t>
            </w:r>
          </w:p>
        </w:tc>
        <w:tc>
          <w:tcPr>
            <w:tcW w:type="dxa" w:w="5046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可作为统一数据湖，包含上述业务数据的逻辑占用；若独立复制，另计传输与重复空间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训练热缓存</w:t>
            </w:r>
          </w:p>
        </w:tc>
        <w:tc>
          <w:tcPr>
            <w:tcW w:type="dxa" w:w="243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每台20—30TB本地NVMe，共40—60TB</w:t>
            </w:r>
          </w:p>
        </w:tc>
        <w:tc>
          <w:tcPr>
            <w:tcW w:type="dxa" w:w="5046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可重建缓存，不是唯一备份；区分标称容量与RAID后可用容量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可选高性能共享层</w:t>
            </w:r>
          </w:p>
        </w:tc>
        <w:tc>
          <w:tcPr>
            <w:tcW w:type="dxa" w:w="243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20—40TB，仅真实共享训练需要时开通</w:t>
            </w:r>
          </w:p>
        </w:tc>
        <w:tc>
          <w:tcPr>
            <w:tcW w:type="dxa" w:w="5046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可计入50TB或作为额外性能层，两种架构分别报价，禁止默认为免费叠加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b w:val="0"/>
          <w:sz w:val="20"/>
        </w:rPr>
        <w:t>50TB属于训练专项，不能用基础云6—10TB预算自动覆盖。需按“原始音频＋标准化音频＋数据版本增量＋推理结果＋保留checkpoint＋备份＋余量”核定。若累计30,000小时且不重叠，PCM原音约3.456TB，50TB主要余量取决于checkpoint和版本保留策略，不由音频时长本身证明。</w:t>
      </w:r>
    </w:p>
    <w:p>
      <w:r>
        <w:rPr>
          <w:rFonts w:ascii="Noto Sans CJK SC" w:hAnsi="Noto Sans CJK SC" w:eastAsia="Noto Sans CJK SC"/>
          <w:b w:val="0"/>
          <w:sz w:val="20"/>
        </w:rPr>
        <w:t>持久对象与训练缓存均用版本manifest/校验和管理；小文件可在训练侧按不可变版本分片，但必须追踪用户撤回到所有副本和未来训练导出。缓存可重建，未经授权不得删除原始音频；重复备份、临时盘、日志保留时间需分别设置且可审计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sz w:val="24"/>
        </w:rPr>
        <w:t>八、区分机房内网络与云外传输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438"/>
        <w:gridCol w:w="5046"/>
      </w:tblGrid>
      <w:tr>
        <w:trPr>
          <w:cantSplit/>
          <w:tblHeader/>
        </w:trPr>
        <w:tc>
          <w:tcPr>
            <w:tcW w:type="dxa" w:w="2268"/>
            <w:shd w:fill="E9F0EF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场景</w:t>
            </w:r>
          </w:p>
        </w:tc>
        <w:tc>
          <w:tcPr>
            <w:tcW w:type="dxa" w:w="2438"/>
            <w:shd w:fill="E9F0EF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规划目标</w:t>
            </w:r>
          </w:p>
        </w:tc>
        <w:tc>
          <w:tcPr>
            <w:tcW w:type="dxa" w:w="5046"/>
            <w:shd w:fill="E9F0EF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条件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管理、SSH、监控</w:t>
            </w:r>
          </w:p>
        </w:tc>
        <w:tc>
          <w:tcPr>
            <w:tcW w:type="dxa" w:w="243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10/25GbE</w:t>
            </w:r>
          </w:p>
        </w:tc>
        <w:tc>
          <w:tcPr>
            <w:tcW w:type="dxa" w:w="5046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与数据平面隔离，按机房能力报价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GPU到本地共享存储</w:t>
            </w:r>
          </w:p>
        </w:tc>
        <w:tc>
          <w:tcPr>
            <w:tcW w:type="dxa" w:w="243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100GbE候选基线、200GbE升级项</w:t>
            </w:r>
          </w:p>
        </w:tc>
        <w:tc>
          <w:tcPr>
            <w:tcW w:type="dxa" w:w="5046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两个节点独立训练时先测25/100GbE，不把200G当无条件必需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后续同构H20跨机训练</w:t>
            </w:r>
          </w:p>
        </w:tc>
        <w:tc>
          <w:tcPr>
            <w:tcW w:type="dxa" w:w="243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400GbE RoCE/RDMA候选，GPUDirect RDMA验证</w:t>
            </w:r>
          </w:p>
        </w:tc>
        <w:tc>
          <w:tcPr>
            <w:tcW w:type="dxa" w:w="5046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同构扩容和通信实测证明必要后采购；不是当前两台异构节点必需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OSS到奇绩或其他机房</w:t>
            </w:r>
          </w:p>
        </w:tc>
        <w:tc>
          <w:tcPr>
            <w:tcW w:type="dxa" w:w="243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实际专线/公网路径单列</w:t>
            </w:r>
          </w:p>
        </w:tc>
        <w:tc>
          <w:tcPr>
            <w:tcW w:type="dxa" w:w="5046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云内免费范围、出网、跨地域复制、专线端口与线路费逐项确认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b w:val="0"/>
          <w:sz w:val="20"/>
        </w:rPr>
        <w:t>上述GbE是端口/链路候选速率，不是保证到OSS或互联网的实际吞吐。要求端到端带宽、超售比、NIC数量、交换机、光模块、线缆、RDMA/RoCE适配与部署边界。不能把100/200/400GbE机房网报价误当公网带宽。</w:t>
      </w:r>
    </w:p>
    <w:p>
      <w:r>
        <w:rPr>
          <w:rFonts w:ascii="Noto Sans CJK SC" w:hAnsi="Noto Sans CJK SC" w:eastAsia="Noto Sans CJK SC"/>
          <w:b w:val="0"/>
          <w:sz w:val="20"/>
        </w:rPr>
        <w:t>应优先在同一地域并靠近热数据调度，避免每轮训练反复出云下载。总成本比较需加入GPU闲置、存储占用、冷热恢复、重复下载、网络、安全和运维；不能只比较“元／卡时”。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32"/>
        </w:rPr>
        <w:t>模型API、额度和商业条款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sz w:val="24"/>
        </w:rPr>
        <w:t>九、模型API的谈判清单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767"/>
      </w:tblGrid>
      <w:tr>
        <w:trPr>
          <w:cantSplit/>
          <w:tblHeader/>
        </w:trPr>
        <w:tc>
          <w:tcPr>
            <w:tcW w:type="dxa" w:w="1984"/>
            <w:shd w:fill="E9F0EF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7767"/>
            <w:shd w:fill="E9F0EF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要求书面回答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ASR</w:t>
            </w:r>
          </w:p>
        </w:tc>
        <w:tc>
          <w:tcPr>
            <w:tcW w:type="dxa" w:w="7767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指定当前Qwen实时型号与地域报价，计费秒数/最小粒度/静音口径；回退、对照合计按最多2,000小时做基准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TTS</w:t>
            </w:r>
          </w:p>
        </w:tc>
        <w:tc>
          <w:tcPr>
            <w:tcW w:type="dxa" w:w="7767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指定型号及按字符/Token计价口径；固定文案缓存的许可和存储要求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LLM</w:t>
            </w:r>
          </w:p>
        </w:tc>
        <w:tc>
          <w:tcPr>
            <w:tcW w:type="dxa" w:w="7767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分Flash/Plus、输入/输出、思考Token、长上下文阶梯、Batch/缓存与重试计价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并发</w:t>
            </w:r>
          </w:p>
        </w:tc>
        <w:tc>
          <w:tcPr>
            <w:tcW w:type="dxa" w:w="7767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分ASR实时连接数、TTS并发、LLM RPM/TPM，列默认值、扩额条件、费用及生效时间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可用性</w:t>
            </w:r>
          </w:p>
        </w:tc>
        <w:tc>
          <w:tcPr>
            <w:tcW w:type="dxa" w:w="7767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429/超时处理、区域异常、SLA赔付及升级支持，回退不自动解除成本限额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赠额</w:t>
            </w:r>
          </w:p>
        </w:tc>
        <w:tc>
          <w:tcPr>
            <w:tcW w:type="dxa" w:w="7767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是Tokens、调用次数、Credits还是人民币抵扣金；适用SKU、领取人、有效期、消费顺序、叠加与余额查询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Token Plan</w:t>
            </w:r>
          </w:p>
        </w:tc>
        <w:tc>
          <w:tcPr>
            <w:tcW w:type="dxa" w:w="7767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是何种订阅、是否允许生产多用户服务、是否覆盖本项目模型；专属API Key、Endpoint和迁移要求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凭证验证</w:t>
            </w:r>
          </w:p>
        </w:tc>
        <w:tc>
          <w:tcPr>
            <w:tcW w:type="dxa" w:w="7767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在隔离环境用非敏感音频/文本做小额调用，检查具体账单抵扣，禁止将Key发入文档或邮件正文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b w:val="0"/>
          <w:sz w:val="20"/>
        </w:rPr>
        <w:t>百炼产品页同时出现“超7000万”和“超1亿Tokens”免费体验表述，不能将总宣传额度当成一个可自由跨模型使用的钱包，也不能转换成“100万元已获补助”。目前没有核验本公司新客资格或已领取额度。[A1]</w:t>
      </w:r>
    </w:p>
    <w:p>
      <w:r>
        <w:rPr>
          <w:rFonts w:ascii="Noto Sans CJK SC" w:hAnsi="Noto Sans CJK SC" w:eastAsia="Noto Sans CJK SC"/>
          <w:b w:val="0"/>
          <w:sz w:val="20"/>
        </w:rPr>
        <w:t>尝试读取的Token Plan帮助地址返回HTTP 200的404内容页，不能据此确定专属Key或生产适用规则。该事项列为书面答复和试调用必答项；不提前更换线上凭证。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sz w:val="24"/>
        </w:rPr>
        <w:t>十、供方逐行报价模板</w:t>
      </w:r>
    </w:p>
    <w:p>
      <w:r>
        <w:rPr>
          <w:rFonts w:ascii="Noto Sans CJK SC" w:hAnsi="Noto Sans CJK SC" w:eastAsia="Noto Sans CJK SC"/>
          <w:b w:val="0"/>
          <w:sz w:val="20"/>
        </w:rPr>
        <w:t>每一行均填写：产品/SKU、数量、地域/可用区、计量单位、使用量假设、目录价、折扣、税额及含税价、3个月合计、6个月合计、优惠期后续费价、赠额抵扣条件、是否有最低消费和报价有效期。</w:t>
      </w:r>
    </w:p>
    <w:p>
      <w:r>
        <w:rPr>
          <w:rFonts w:ascii="Noto Sans CJK SC" w:hAnsi="Noto Sans CJK SC" w:eastAsia="Noto Sans CJK SC"/>
          <w:b w:val="0"/>
          <w:sz w:val="20"/>
        </w:rPr>
        <w:t>必须覆盖：ECS及云盘、OSS容量和请求、OSS公网下载、EIP/TURN、LB与处理单元、NAT/专线、托管状态服务、数据库/备份、SLS写入及保留、ACR/构建、必要安全产品、ASR/TTS/LLM；GPU包另列裸机、内存、NVMe、持久/共享存储、NIC/交换、托管/功耗是否包含、部署与退出费用。</w:t>
      </w:r>
    </w:p>
    <w:p>
      <w:r>
        <w:rPr>
          <w:rFonts w:ascii="Noto Sans CJK SC" w:hAnsi="Noto Sans CJK SC" w:eastAsia="Noto Sans CJK SC"/>
          <w:b w:val="0"/>
          <w:sz w:val="20"/>
        </w:rPr>
      </w:r>
      <w:r>
        <w:rPr>
          <w:rFonts w:ascii="Noto Sans CJK SC" w:hAnsi="Noto Sans CJK SC" w:eastAsia="Noto Sans CJK SC"/>
          <w:b/>
          <w:sz w:val="20"/>
        </w:rPr>
        <w:t>总成本计算口径：</w:t>
      </w:r>
      <w:r>
        <w:rPr>
          <w:rFonts w:ascii="Noto Sans CJK SC" w:hAnsi="Noto Sans CJK SC" w:eastAsia="Noto Sans CJK SC"/>
          <w:b w:val="0"/>
          <w:sz w:val="20"/>
        </w:rPr>
        <w:t xml:space="preserve"> 计算资源费用＋存储实际GB月＋业务请求/流量＋GPU节点月或卡时＋网络/软件/服务费＋税费－已确认可抵扣优惠。政策补助单列“未获批／部分获批／延后到账”情景，不先从应付现金中扣除。所有资源只能计一次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sz w:val="24"/>
        </w:rPr>
        <w:t>十一、可交换条件与合同底线</w:t>
      </w:r>
    </w:p>
    <w:p>
      <w:r>
        <w:rPr>
          <w:rFonts w:ascii="Noto Sans CJK SC" w:hAnsi="Noto Sans CJK SC" w:eastAsia="Noto Sans CJK SC"/>
          <w:b w:val="0"/>
          <w:sz w:val="20"/>
        </w:rPr>
        <w:t>可讨论以期限、稳定用量、增长评审及经单独许可的联合案例，交换折扣、赠额、试用、技术支持和配额。先看三个月短期运行数据，再决定是否转六个月或更长期；不提供未经批准的排他采购或保底GPU消费。</w:t>
      </w:r>
    </w:p>
    <w:p>
      <w:r>
        <w:rPr>
          <w:rFonts w:ascii="Noto Sans CJK SC" w:hAnsi="Noto Sans CJK SC" w:eastAsia="Noto Sans CJK SC"/>
          <w:b w:val="0"/>
          <w:sz w:val="20"/>
        </w:rPr>
        <w:t>合同明确验收起算、故障停计/补偿、试用失败退出、降配/退订/退款、提前终止、余额/资源包失效、故障换机、数据导出和擦除证明。价格变化、资源型号替代、转包及数据地域变更须事先确认。涉及宣传、原始语音、个人身份或模型权重，不因云优惠自动授权对方使用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32"/>
        </w:rPr>
        <w:t>结合上海、杭州政策的签约与费用安排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sz w:val="24"/>
        </w:rPr>
        <w:t>十二、按合格费用选择政策，不按充值总额测补助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438"/>
        <w:gridCol w:w="5046"/>
      </w:tblGrid>
      <w:tr>
        <w:trPr>
          <w:cantSplit/>
          <w:tblHeader/>
        </w:trPr>
        <w:tc>
          <w:tcPr>
            <w:tcW w:type="dxa" w:w="2268"/>
            <w:shd w:fill="E9F0EF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政策路径</w:t>
            </w:r>
          </w:p>
        </w:tc>
        <w:tc>
          <w:tcPr>
            <w:tcW w:type="dxa" w:w="2438"/>
            <w:shd w:fill="E9F0EF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已有依据</w:t>
            </w:r>
          </w:p>
        </w:tc>
        <w:tc>
          <w:tcPr>
            <w:tcW w:type="dxa" w:w="5046"/>
            <w:shd w:fill="E9F0EF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本次向阿里云与主管部门确认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余杭</w:t>
            </w:r>
          </w:p>
        </w:tc>
        <w:tc>
          <w:tcPr>
            <w:tcW w:type="dxa" w:w="243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2026年8月6日第二批伙伴公示已点名“阿里云计算有限公司”等拟认定单位，并引用2026修订细则</w:t>
            </w:r>
          </w:p>
        </w:tc>
        <w:tc>
          <w:tcPr>
            <w:tcW w:type="dxa" w:w="5046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最终认定名单、准确法人、可支持SKU、实际比例/限额、服务期；“拟认定”不是最终资格 [P1]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杭州市级</w:t>
            </w:r>
          </w:p>
        </w:tc>
        <w:tc>
          <w:tcPr>
            <w:tcW w:type="dxa" w:w="243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先获额度再兑付，2026额度申领截至12月10日；材料列2025审计报告及2026服务期合同</w:t>
            </w:r>
          </w:p>
        </w:tc>
        <w:tc>
          <w:tcPr>
            <w:tcW w:type="dxa" w:w="5046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新设主体替代材料、属地收件日期、GPU服务范围与下一年度衔接 [P2]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滨江</w:t>
            </w:r>
          </w:p>
        </w:tc>
        <w:tc>
          <w:tcPr>
            <w:tcW w:type="dxa" w:w="243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新措施2026年9月11日施行；非自主/自主算力最高30%/60%，单企最高2,000万元；Token券按实际使用最高1,000万元</w:t>
            </w:r>
          </w:p>
        </w:tc>
        <w:tc>
          <w:tcPr>
            <w:tcW w:type="dxa" w:w="5046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截至9月7日尚未施行；实际受理、费用起算、算力认定、年度额度及叠加规则 [P3]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上海市级</w:t>
            </w:r>
          </w:p>
        </w:tc>
        <w:tc>
          <w:tcPr>
            <w:tcW w:type="dxa" w:w="243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2026通知支持非关联方智能算力租用，不包括存储/网络/安全；另有模型API和语料方向</w:t>
            </w:r>
          </w:p>
        </w:tc>
        <w:tc>
          <w:tcPr>
            <w:tcW w:type="dxa" w:w="5046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本公司在沪经营资格、算力与模型项目、服务商统筹申报边界及季度通知 [P4]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西湖及上海AI小镇</w:t>
            </w:r>
          </w:p>
        </w:tc>
        <w:tc>
          <w:tcPr>
            <w:tcW w:type="dxa" w:w="243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原政策PDF列有相关支持方向与园区条件</w:t>
            </w:r>
          </w:p>
        </w:tc>
        <w:tc>
          <w:tcPr>
            <w:tcW w:type="dxa" w:w="5046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仅在有真实团队/业务落地时核验；未核对本次最新窗口，不据上限设主体 [原件]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b w:val="0"/>
          <w:sz w:val="20"/>
        </w:rPr>
      </w:r>
      <w:r>
        <w:rPr>
          <w:rFonts w:ascii="Noto Sans CJK SC" w:hAnsi="Noto Sans CJK SC" w:eastAsia="Noto Sans CJK SC"/>
          <w:b/>
          <w:sz w:val="20"/>
        </w:rPr>
        <w:t>“自主研发ASR”不等于政策中的“自主人工智能算力”。</w:t>
      </w:r>
      <w:r>
        <w:rPr>
          <w:rFonts w:ascii="Noto Sans CJK SC" w:hAnsi="Noto Sans CJK SC" w:eastAsia="Noto Sans CJK SC"/>
          <w:b w:val="0"/>
          <w:sz w:val="20"/>
        </w:rPr>
        <w:t xml:space="preserve"> 不把5090/H20因运行自研模型就套用滨江60%比例；也不把自采用户报酬自动列入“外购语料券”。两者均须依据具体认定口径。</w:t>
      </w:r>
    </w:p>
    <w:p>
      <w:r>
        <w:rPr>
          <w:rFonts w:ascii="Noto Sans CJK SC" w:hAnsi="Noto Sans CJK SC" w:eastAsia="Noto Sans CJK SC"/>
          <w:b w:val="0"/>
          <w:sz w:val="20"/>
        </w:rPr>
        <w:t>阿里云说明资源与账单事实，政府主管部门决定资格、核定费用和拨付。政策上限不是承诺补贴；多法人也不当然允许同一项目或费用重复申报。免费奇绩支持、抵扣金抵扣部分及关联方转售如何认定，必须书面确认，未确认不列合格费用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sz w:val="24"/>
        </w:rPr>
        <w:t>十三、签约前把证据链做对</w:t>
      </w:r>
    </w:p>
    <w:p>
      <w:r>
        <w:rPr>
          <w:rFonts w:ascii="Noto Sans CJK SC" w:hAnsi="Noto Sans CJK SC" w:eastAsia="Noto Sans CJK SC"/>
          <w:b w:val="0"/>
          <w:sz w:val="20"/>
        </w:rPr>
        <w:t>按真实主体和项目建资源标签、预算及账单台账，保留合同、资源ID、机房地域、服务日期、使用证明、付款流水、发票与交付成效。账号集中采购、子公司代付或集团转售应先确认政策是否接受，不事后转移母公司历史费用。</w:t>
      </w:r>
    </w:p>
    <w:p>
      <w:r>
        <w:rPr>
          <w:rFonts w:ascii="Noto Sans CJK SC" w:hAnsi="Noto Sans CJK SC" w:eastAsia="Noto Sans CJK SC"/>
          <w:b w:val="0"/>
          <w:sz w:val="20"/>
        </w:rPr>
        <w:t>2026年9月开始的六个月计划会跨2027年。报价和合同需分月列服务期；2026年杭州通知只足以支持其所列2026期间要求，2027政策及新批次仍待核验。杭州部门在6月、9月、12月和次年2月前5个工作日报送，不是企业统一截止日；上海后续季度批次也需以实际公告为准。[P2、P4]</w:t>
      </w:r>
    </w:p>
    <w:p>
      <w:r>
        <w:rPr>
          <w:rFonts w:ascii="Noto Sans CJK SC" w:hAnsi="Noto Sans CJK SC" w:eastAsia="Noto Sans CJK SC"/>
          <w:b w:val="0"/>
          <w:sz w:val="20"/>
        </w:rPr>
        <w:t>经营上沿用原PDF原则：余杭现有业务先核费用，滨江/西湖新增布局跟随具体项目，上海客户与研发按真实主体承担。仓库已使用上海公司名，并不证明已存在可申报的余杭主体；各地实际主体、审计和税务资料需管理层先对账。不得仅为补贴重复设子公司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32"/>
        </w:rPr>
        <w:t>验证、分期扩容与会议结论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sz w:val="24"/>
        </w:rPr>
        <w:t>十四、GPU试机验收协议应先于长租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438"/>
        <w:gridCol w:w="5046"/>
      </w:tblGrid>
      <w:tr>
        <w:trPr>
          <w:cantSplit/>
          <w:tblHeader/>
        </w:trPr>
        <w:tc>
          <w:tcPr>
            <w:tcW w:type="dxa" w:w="2268"/>
            <w:shd w:fill="E9F0EF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试验</w:t>
            </w:r>
          </w:p>
        </w:tc>
        <w:tc>
          <w:tcPr>
            <w:tcW w:type="dxa" w:w="2438"/>
            <w:shd w:fill="E9F0EF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必须固定的条件</w:t>
            </w:r>
          </w:p>
        </w:tc>
        <w:tc>
          <w:tcPr>
            <w:tcW w:type="dxa" w:w="5046"/>
            <w:shd w:fill="E9F0EF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决策证据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配置核对</w:t>
            </w:r>
          </w:p>
        </w:tc>
        <w:tc>
          <w:tcPr>
            <w:tcW w:type="dxa" w:w="243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GPU SKU、CPU/NUMA、显存、驱动、容器镜像、NIC/NVMe拓扑</w:t>
            </w:r>
          </w:p>
        </w:tc>
        <w:tc>
          <w:tcPr>
            <w:tcW w:type="dxa" w:w="5046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设备清单、可用容量、供货/许可与维护承诺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实际训练</w:t>
            </w:r>
          </w:p>
        </w:tc>
        <w:tc>
          <w:tcPr>
            <w:tcW w:type="dxa" w:w="243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授权且去标识的代表性语音集；模型、序列长度、精度、batch、优化器、随机种子</w:t>
            </w:r>
          </w:p>
        </w:tc>
        <w:tc>
          <w:tcPr>
            <w:tcW w:type="dxa" w:w="5046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1/2/4/8卡samples/s、峰值显存、step P95、扩展效率、loss及失败日志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长任务</w:t>
            </w:r>
          </w:p>
        </w:tc>
        <w:tc>
          <w:tcPr>
            <w:tcW w:type="dxa" w:w="243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至少24小时候选稳定性测试，实际时长由双方冻结</w:t>
            </w:r>
          </w:p>
        </w:tc>
        <w:tc>
          <w:tcPr>
            <w:tcW w:type="dxa" w:w="5046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OOM/掉卡/过温、checkpoint保存/恢复、异常重启及数据完整性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推理与在线共存</w:t>
            </w:r>
          </w:p>
        </w:tc>
        <w:tc>
          <w:tcPr>
            <w:tcW w:type="dxa" w:w="243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固定模型与说话人隔离评测，在线配额与离线资源隔离</w:t>
            </w:r>
          </w:p>
        </w:tc>
        <w:tc>
          <w:tcPr>
            <w:tcW w:type="dxa" w:w="5046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CER分层、真实短句/长停顿、噪声设备、ASR P95及回退率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存储网络</w:t>
            </w:r>
          </w:p>
        </w:tc>
        <w:tc>
          <w:tcPr>
            <w:tcW w:type="dxa" w:w="243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冷缓存/热缓存、小文件/分片、恢复和校验；RDMA仅在报价含该能力时测试</w:t>
            </w:r>
          </w:p>
        </w:tc>
        <w:tc>
          <w:tcPr>
            <w:tcW w:type="dxa" w:w="5046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数据供给时间、持续吞吐、尾延迟、传输账单与重建时间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多用户协作</w:t>
            </w:r>
          </w:p>
        </w:tc>
        <w:tc>
          <w:tcPr>
            <w:tcW w:type="dxa" w:w="2438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10名开发者角色、任务配额、优先级、失败重试与空间隔离</w:t>
            </w:r>
          </w:p>
        </w:tc>
        <w:tc>
          <w:tcPr>
            <w:tcW w:type="dxa" w:w="5046"/>
          </w:tcPr>
          <w:p>
            <w:pPr>
              <w:spacing w:after="50" w:before="5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无跨账号/项目读取，在线推理不被训练占满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b w:val="0"/>
          <w:sz w:val="20"/>
        </w:rPr>
        <w:t>不预填未经测试的训练速度。训练时长≈音频小时×epoch÷整节点实测音频处理倍速，再计评测/checkpoint开销；GPU卡时还须乘实际使用卡数。用“每次合格训练任务成本”和“每千小时推理成本”比较供方，不用峰值算力代替业务性能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sz w:val="24"/>
        </w:rPr>
        <w:t>十五、扩容与停止条件</w:t>
      </w:r>
    </w:p>
    <w:p>
      <w:r>
        <w:rPr>
          <w:rFonts w:ascii="Noto Sans CJK SC" w:hAnsi="Noto Sans CJK SC" w:eastAsia="Noto Sans CJK SC"/>
          <w:b w:val="0"/>
          <w:sz w:val="20"/>
        </w:rPr>
        <w:t>第一步核对奇绩支持剩余资源、可用时段、存储/出网、数据许可及到期退出。第二步开基础云最小切片，验证账号、录音与持久事件。第三步完成采集/上传压力与16路RTC分项验证，再决定GPU补充与下一阶段并发。第四步仅在同构跨机训练瓶颈被证明后，讨论400G与更多H20节点。</w:t>
      </w:r>
    </w:p>
    <w:p>
      <w:r>
        <w:rPr>
          <w:rFonts w:ascii="Noto Sans CJK SC" w:hAnsi="Noto Sans CJK SC" w:eastAsia="Noto Sans CJK SC"/>
          <w:b w:val="0"/>
          <w:sz w:val="20"/>
        </w:rPr>
        <w:t>停止条件：无法确认合法SKU/使用授权；真实训练无法运行或性价比未优于既有资源；供方不提供拆项账单；采集量、补贴资格或用户权益被无依据承诺；出现越权、撤回复活、恢复失败或超过已批准预算。出现停止条件退回现有支持和小规模资源，不自动改生产、不删除原始数据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sz w:val="24"/>
        </w:rPr>
        <w:t>十六、会后书面结论清单</w:t>
      </w:r>
    </w:p>
    <w:p>
      <w:r>
        <w:rPr>
          <w:rFonts w:ascii="Noto Sans CJK SC" w:hAnsi="Noto Sans CJK SC" w:eastAsia="Noto Sans CJK SC"/>
          <w:b w:val="0"/>
          <w:sz w:val="20"/>
        </w:rPr>
        <w:t>请阿里云在首次技术商务会后按双方约定日期返回：</w:t>
      </w:r>
    </w:p>
    <w:p>
      <w:r>
        <w:rPr>
          <w:rFonts w:ascii="Noto Sans CJK SC" w:hAnsi="Noto Sans CJK SC" w:eastAsia="Noto Sans CJK SC"/>
          <w:b w:val="0"/>
          <w:sz w:val="20"/>
        </w:rPr>
        <w:t>1. A/B/C三个资源包的3个月与6个月含税报价、有效期及SKU偏离表。</w:t>
      </w:r>
    </w:p>
    <w:p>
      <w:r>
        <w:rPr>
          <w:rFonts w:ascii="Noto Sans CJK SC" w:hAnsi="Noto Sans CJK SC" w:eastAsia="Noto Sans CJK SC"/>
          <w:b w:val="0"/>
          <w:sz w:val="20"/>
        </w:rPr>
        <w:t>2. 5090/H20可交付情况、具体型号、机房、交付日期与替代方案。</w:t>
      </w:r>
    </w:p>
    <w:p>
      <w:r>
        <w:rPr>
          <w:rFonts w:ascii="Noto Sans CJK SC" w:hAnsi="Noto Sans CJK SC" w:eastAsia="Noto Sans CJK SC"/>
          <w:b w:val="0"/>
          <w:sz w:val="20"/>
        </w:rPr>
        <w:t>3. 试用资源/额度、样本及测试协议、故障处理和退出条件。</w:t>
      </w:r>
    </w:p>
    <w:p>
      <w:r>
        <w:rPr>
          <w:rFonts w:ascii="Noto Sans CJK SC" w:hAnsi="Noto Sans CJK SC" w:eastAsia="Noto Sans CJK SC"/>
          <w:b w:val="0"/>
          <w:sz w:val="20"/>
        </w:rPr>
        <w:t>4. ASR/TTS/LLM并发、折扣、赠额、Token Plan使用及凭证规则。</w:t>
      </w:r>
    </w:p>
    <w:p>
      <w:r>
        <w:rPr>
          <w:rFonts w:ascii="Noto Sans CJK SC" w:hAnsi="Noto Sans CJK SC" w:eastAsia="Noto Sans CJK SC"/>
          <w:b w:val="0"/>
          <w:sz w:val="20"/>
        </w:rPr>
        <w:t>5. 余杭最终伙伴依据及上海/杭州可提供的服务证明、分账与申报协助材料。</w:t>
      </w:r>
    </w:p>
    <w:p>
      <w:r>
        <w:rPr>
          <w:rFonts w:ascii="Noto Sans CJK SC" w:hAnsi="Noto Sans CJK SC" w:eastAsia="Noto Sans CJK SC"/>
          <w:b w:val="0"/>
          <w:sz w:val="20"/>
        </w:rPr>
        <w:t>6. 合同、账期、退订、SLA、数据导出及部署支持条款。</w:t>
      </w:r>
    </w:p>
    <w:p>
      <w:r>
        <w:rPr>
          <w:rFonts w:ascii="Noto Sans CJK SC" w:hAnsi="Noto Sans CJK SC" w:eastAsia="Noto Sans CJK SC"/>
          <w:b w:val="0"/>
          <w:sz w:val="20"/>
        </w:rPr>
        <w:t>项目方：技术负责人核验容量和数据边界；财务负责人核验主体、报价、账单和政策材料；合伙人批准资金及长期承诺。双方确认材料不完整时，状态保持“继续征询”，不是默认同意采购。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32"/>
        </w:rPr>
        <w:t>依据索引与适用范围</w:t>
      </w:r>
    </w:p>
    <w:p>
      <w:r>
        <w:rPr>
          <w:rFonts w:ascii="Noto Sans CJK SC" w:hAnsi="Noto Sans CJK SC" w:eastAsia="Noto Sans CJK SC"/>
          <w:b w:val="0"/>
          <w:sz w:val="20"/>
        </w:rPr>
        <w:t>核验时点：2026年9月7日。原件与网页支持事实边界；候选规格、容量假设、分包、验收和谈判条件均为本项目提出的要求，不是厂商或政府保证。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sz w:val="24"/>
        </w:rPr>
        <w:t>阿里云及原厂依据</w:t>
      </w:r>
    </w:p>
    <w:p>
      <w:r>
        <w:rPr>
          <w:rFonts w:ascii="Noto Sans CJK SC" w:hAnsi="Noto Sans CJK SC" w:eastAsia="Noto Sans CJK SC"/>
          <w:b w:val="0"/>
          <w:sz w:val="20"/>
        </w:rPr>
        <w:t>[A1] 阿里云《大模型服务平台百炼》产品页。公开免费额度宣传存在不同表述；不证明本账户权益。</w:t>
      </w:r>
    </w:p>
    <w:p>
      <w:r>
        <w:rPr>
          <w:rFonts w:ascii="Noto Sans CJK SC" w:hAnsi="Noto Sans CJK SC" w:eastAsia="Noto Sans CJK SC"/>
          <w:b w:val="0"/>
          <w:sz w:val="20"/>
        </w:rPr>
        <w:t>[A2] 阿里云《百炼模型价格》。核验北京地域qwen3-asr-flash-realtime-2026-02-10及qwen-flash短上下文价格；别名/版本/地域变化需重新核价，不引用为长期锁价。</w:t>
      </w:r>
    </w:p>
    <w:p>
      <w:r>
        <w:rPr>
          <w:rFonts w:ascii="Noto Sans CJK SC" w:hAnsi="Noto Sans CJK SC" w:eastAsia="Noto Sans CJK SC"/>
          <w:b w:val="0"/>
          <w:sz w:val="20"/>
        </w:rPr>
        <w:t>[N1] NVIDIA《GeForce RTX 5090 Graphics Cards》官方规格。仅支持该页面型号的单卡显存、无NVLink、功耗等器件事实；不支持H20或大陆8卡裸机供货结论。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sz w:val="24"/>
        </w:rPr>
        <w:t>政策依据</w:t>
      </w:r>
    </w:p>
    <w:p>
      <w:r>
        <w:rPr>
          <w:rFonts w:ascii="Noto Sans CJK SC" w:hAnsi="Noto Sans CJK SC" w:eastAsia="Noto Sans CJK SC"/>
          <w:b w:val="0"/>
          <w:sz w:val="20"/>
        </w:rPr>
        <w:t>[P1] 余杭区经信局、财政局《关于拟认定余杭区算力伙伴（第二批）的公示》，2026年8月6日。已读网页正文，未读附件或取得最终名单及完整修订细则。</w:t>
      </w:r>
    </w:p>
    <w:p>
      <w:r>
        <w:rPr>
          <w:rFonts w:ascii="Noto Sans CJK SC" w:hAnsi="Noto Sans CJK SC" w:eastAsia="Noto Sans CJK SC"/>
          <w:b w:val="0"/>
          <w:sz w:val="20"/>
        </w:rPr>
        <w:t>[P2] 杭州市经信局《关于组织开展2026年算力券兑付申报的通知》，落款2026年5月29日、网页发布6月1日。已读正文，未进入企业申报后台。</w:t>
      </w:r>
    </w:p>
    <w:p>
      <w:r>
        <w:rPr>
          <w:rFonts w:ascii="Noto Sans CJK SC" w:hAnsi="Noto Sans CJK SC" w:eastAsia="Noto Sans CJK SC"/>
          <w:b w:val="0"/>
          <w:sz w:val="20"/>
        </w:rPr>
        <w:t>[P3] 杭州高新区（滨江）《进一步加快新一代人工智能产业应用发展若干措施》，杭高新〔2026〕6号，2026年8月12日发布、9月11日施行。已读网页正文，不代表本公司资格获认定。</w:t>
      </w:r>
    </w:p>
    <w:p>
      <w:r>
        <w:rPr>
          <w:rFonts w:ascii="Noto Sans CJK SC" w:hAnsi="Noto Sans CJK SC" w:eastAsia="Noto Sans CJK SC"/>
          <w:b w:val="0"/>
          <w:sz w:val="20"/>
        </w:rPr>
        <w:t>[P4] 上海市经信委《关于组织2026年度上海市“模塑申城”工程相关补贴申报工作的通知》，沪经信智〔2026〕248号，2026年5月7日。未独立核验本企业资料及后续批次。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sz w:val="24"/>
        </w:rPr>
        <w:t>项目依据与限制</w:t>
      </w:r>
    </w:p>
    <w:p>
      <w:r>
        <w:rPr>
          <w:rFonts w:ascii="Noto Sans CJK SC" w:hAnsi="Noto Sans CJK SC" w:eastAsia="Noto Sans CJK SC"/>
          <w:b w:val="0"/>
          <w:sz w:val="20"/>
        </w:rPr>
        <w:t>[原件] 用户指定《上海、杭州算力政策及业务布局建议》，8页，PDF标题及文件类型已核对。SHA-256：3a7aa3602742922bdcac55bd2d688aefff296042f62ab4c625cb428be654fd12。</w:t>
      </w:r>
    </w:p>
    <w:p>
      <w:r>
        <w:rPr>
          <w:rFonts w:ascii="Noto Sans CJK SC" w:hAnsi="Noto Sans CJK SC" w:eastAsia="Noto Sans CJK SC"/>
          <w:b w:val="0"/>
          <w:sz w:val="20"/>
        </w:rPr>
        <w:t>[L1] 仓库现役采集/扩容控制面手册及2026年9月7日会话摘要；[L2] Web数据采集说明；[L3] livekit_agent/config.py。容量以现有验证记录为证，不作本次生产复测声明；与旧手册有部署状态冲突时，按最近摘要保留未完成边界。</w:t>
      </w:r>
    </w:p>
    <w:p>
      <w:r>
        <w:rPr>
          <w:rFonts w:ascii="Noto Sans CJK SC" w:hAnsi="Noto Sans CJK SC" w:eastAsia="Noto Sans CJK SC"/>
          <w:b w:val="0"/>
          <w:sz w:val="20"/>
        </w:rPr>
        <w:t>通用网页检索未返回可用结果；Context7仅取得百炼通用导航信息，因此改为直接读取阿里云、NVIDIA及政府原文并留存哈希。Token Plan候选地址实际为404内容，已记录失败，不作为规则依据。未获得正式资源报价、GPU供货确认、公司补贴资格或独立财务/法务审核，文件仅供需求征询与内部审批准备。</w:t>
      </w:r>
    </w:p>
    <w:p>
      <w:r>
        <w:rPr>
          <w:rFonts w:ascii="Noto Sans CJK SC" w:hAnsi="Noto Sans CJK SC" w:eastAsia="Noto Sans CJK SC"/>
          <w:b w:val="0"/>
          <w:sz w:val="20"/>
        </w:rPr>
        <w:t>网页原文入口见下方“官方来源链接”。法律、税务、数据使用和补贴资格由相应专业人员及主管部门确认；本稿不代替正式意见。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sz w:val="24"/>
        </w:rPr>
        <w:t>官方来源链接</w:t>
      </w:r>
    </w:p>
    <w:p>
      <w:r>
        <w:rPr>
          <w:rFonts w:ascii="Noto Sans CJK SC" w:hAnsi="Noto Sans CJK SC" w:eastAsia="Noto Sans CJK SC"/>
          <w:b w:val="0"/>
          <w:sz w:val="20"/>
        </w:rPr>
      </w:r>
      <w:hyperlink r:id="rId11">
        <w:r>
          <w:rPr>
            <w:color w:val="146B70"/>
            <w:rFonts w:eastAsia="Noto Sans CJK SC"/>
          </w:rPr>
          <w:t>A1 · 大模型服务平台百炼 - 大模型应用构建 - 阿里云</w:t>
        </w:r>
      </w:hyperlink>
      <w:r>
        <w:rPr>
          <w:rFonts w:ascii="Noto Sans CJK SC" w:hAnsi="Noto Sans CJK SC" w:eastAsia="Noto Sans CJK SC"/>
          <w:b w:val="0"/>
          <w:sz w:val="20"/>
        </w:rPr>
      </w:r>
    </w:p>
    <w:p>
      <w:r>
        <w:rPr>
          <w:rFonts w:ascii="Noto Sans CJK SC" w:hAnsi="Noto Sans CJK SC" w:eastAsia="Noto Sans CJK SC"/>
          <w:b w:val="0"/>
          <w:sz w:val="20"/>
        </w:rPr>
      </w:r>
      <w:hyperlink r:id="rId12">
        <w:r>
          <w:rPr>
            <w:color w:val="146B70"/>
            <w:rFonts w:eastAsia="Noto Sans CJK SC"/>
          </w:rPr>
          <w:t>A2 · 阿里云百炼模型价格-大模型服务平台百炼(Model Studio)-阿里云帮助中心</w:t>
        </w:r>
      </w:hyperlink>
      <w:r>
        <w:rPr>
          <w:rFonts w:ascii="Noto Sans CJK SC" w:hAnsi="Noto Sans CJK SC" w:eastAsia="Noto Sans CJK SC"/>
          <w:b w:val="0"/>
          <w:sz w:val="20"/>
        </w:rPr>
      </w:r>
    </w:p>
    <w:p>
      <w:r>
        <w:rPr>
          <w:rFonts w:ascii="Noto Sans CJK SC" w:hAnsi="Noto Sans CJK SC" w:eastAsia="Noto Sans CJK SC"/>
          <w:b w:val="0"/>
          <w:sz w:val="20"/>
        </w:rPr>
      </w:r>
      <w:hyperlink r:id="rId13">
        <w:r>
          <w:rPr>
            <w:color w:val="146B70"/>
            <w:rFonts w:eastAsia="Noto Sans CJK SC"/>
          </w:rPr>
          <w:t>N1 · GeForce RTX 5090 Graphics Cards | NVIDIA</w:t>
        </w:r>
      </w:hyperlink>
      <w:r>
        <w:rPr>
          <w:rFonts w:ascii="Noto Sans CJK SC" w:hAnsi="Noto Sans CJK SC" w:eastAsia="Noto Sans CJK SC"/>
          <w:b w:val="0"/>
          <w:sz w:val="20"/>
        </w:rPr>
      </w:r>
    </w:p>
    <w:p>
      <w:r>
        <w:rPr>
          <w:rFonts w:ascii="Noto Sans CJK SC" w:hAnsi="Noto Sans CJK SC" w:eastAsia="Noto Sans CJK SC"/>
          <w:b w:val="0"/>
          <w:sz w:val="20"/>
        </w:rPr>
      </w:r>
      <w:hyperlink r:id="rId14">
        <w:r>
          <w:rPr>
            <w:color w:val="146B70"/>
            <w:rFonts w:eastAsia="Noto Sans CJK SC"/>
          </w:rPr>
          <w:t>P1 · 关于拟认定余杭区算力伙伴（第二批）的公示</w:t>
        </w:r>
      </w:hyperlink>
      <w:r>
        <w:rPr>
          <w:rFonts w:ascii="Noto Sans CJK SC" w:hAnsi="Noto Sans CJK SC" w:eastAsia="Noto Sans CJK SC"/>
          <w:b w:val="0"/>
          <w:sz w:val="20"/>
        </w:rPr>
      </w:r>
    </w:p>
    <w:p>
      <w:r>
        <w:rPr>
          <w:rFonts w:ascii="Noto Sans CJK SC" w:hAnsi="Noto Sans CJK SC" w:eastAsia="Noto Sans CJK SC"/>
          <w:b w:val="0"/>
          <w:sz w:val="20"/>
        </w:rPr>
      </w:r>
      <w:hyperlink r:id="rId15">
        <w:r>
          <w:rPr>
            <w:color w:val="146B70"/>
            <w:rFonts w:eastAsia="Noto Sans CJK SC"/>
          </w:rPr>
          <w:t>P2 · 杭州市经信局（市数字经济局）关于组织开展2026年算力券兑付申报的通知</w:t>
        </w:r>
      </w:hyperlink>
      <w:r>
        <w:rPr>
          <w:rFonts w:ascii="Noto Sans CJK SC" w:hAnsi="Noto Sans CJK SC" w:eastAsia="Noto Sans CJK SC"/>
          <w:b w:val="0"/>
          <w:sz w:val="20"/>
        </w:rPr>
      </w:r>
    </w:p>
    <w:p>
      <w:r>
        <w:rPr>
          <w:rFonts w:ascii="Noto Sans CJK SC" w:hAnsi="Noto Sans CJK SC" w:eastAsia="Noto Sans CJK SC"/>
          <w:b w:val="0"/>
          <w:sz w:val="20"/>
        </w:rPr>
      </w:r>
      <w:hyperlink r:id="rId16">
        <w:r>
          <w:rPr>
            <w:color w:val="146B70"/>
            <w:rFonts w:eastAsia="Noto Sans CJK SC"/>
          </w:rPr>
          <w:t>P3 · 杭州高新开发区（滨江）管委会、政府关于印发杭州高新开发区（滨江）进一步加快新一代人工智能产业应用发展若干措施的通知</w:t>
        </w:r>
      </w:hyperlink>
      <w:r>
        <w:rPr>
          <w:rFonts w:ascii="Noto Sans CJK SC" w:hAnsi="Noto Sans CJK SC" w:eastAsia="Noto Sans CJK SC"/>
          <w:b w:val="0"/>
          <w:sz w:val="20"/>
        </w:rPr>
      </w:r>
    </w:p>
    <w:p>
      <w:r>
        <w:rPr>
          <w:rFonts w:ascii="Noto Sans CJK SC" w:hAnsi="Noto Sans CJK SC" w:eastAsia="Noto Sans CJK SC"/>
          <w:b w:val="0"/>
          <w:sz w:val="20"/>
        </w:rPr>
      </w:r>
      <w:hyperlink r:id="rId17">
        <w:r>
          <w:rPr>
            <w:color w:val="146B70"/>
            <w:rFonts w:eastAsia="Noto Sans CJK SC"/>
          </w:rPr>
          <w:t>P4 · 上海市经济信息化委关于组织2026年度上海市“模塑申城”工程相关补贴申报工作的通知</w:t>
        </w:r>
      </w:hyperlink>
      <w:r>
        <w:rPr>
          <w:rFonts w:ascii="Noto Sans CJK SC" w:hAnsi="Noto Sans CJK SC" w:eastAsia="Noto Sans CJK SC"/>
          <w:b w:val="0"/>
          <w:sz w:val="20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077" w:bottom="850" w:left="1077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CJK SC" w:hAnsi="Noto Sans CJK SC" w:eastAsia="Noto Sans CJK SC"/>
        <w:b w:val="0"/>
        <w:sz w:val="16"/>
      </w:rPr>
      <w:t xml:space="preserve">2026年9月7日  ·  需求征询稿        第 </w:t>
    </w:r>
    <w:fldSimple w:instr="PAGE"/>
    <w:r>
      <w:rPr>
        <w:rFonts w:ascii="Noto Sans CJK SC" w:hAnsi="Noto Sans CJK SC" w:eastAsia="Noto Sans CJK SC"/>
        <w:b w:val="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 w:val="0"/>
        <w:sz w:val="16"/>
      </w:rPr>
      <w:t>生声不息  /  阿里云算力规划与商务谈判方案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Noto Sans CJK SC" w:hAnsi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00"/>
      <w:outlineLvl w:val="0"/>
    </w:pPr>
    <w:rPr>
      <w:rFonts w:asciiTheme="majorHAnsi" w:eastAsiaTheme="majorEastAsia" w:hAnsiTheme="majorHAnsi" w:cstheme="majorBidi" w:ascii="Noto Sans CJK SC" w:hAnsi="Noto Sans CJK SC"/>
      <w:b/>
      <w:bCs/>
      <w:color w:val="174D5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00"/>
      <w:outlineLvl w:val="1"/>
    </w:pPr>
    <w:rPr>
      <w:rFonts w:asciiTheme="majorHAnsi" w:eastAsiaTheme="majorEastAsia" w:hAnsiTheme="majorHAnsi" w:cstheme="majorBidi" w:ascii="Noto Sans CJK SC" w:hAnsi="Noto Sans CJK SC"/>
      <w:b/>
      <w:bCs/>
      <w:color w:val="174D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20"/>
      <w:contextualSpacing/>
    </w:pPr>
    <w:rPr>
      <w:rFonts w:asciiTheme="majorHAnsi" w:eastAsiaTheme="majorEastAsia" w:hAnsiTheme="majorHAnsi" w:cstheme="majorBidi" w:ascii="Noto Sans CJK SC" w:hAnsi="Noto Sans CJK SC"/>
      <w:color w:val="174D5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aliyun.com/product/bailian" TargetMode="External"/><Relationship Id="rId12" Type="http://schemas.openxmlformats.org/officeDocument/2006/relationships/hyperlink" Target="https://help.aliyun.com/zh/model-studio/model-pricing" TargetMode="External"/><Relationship Id="rId13" Type="http://schemas.openxmlformats.org/officeDocument/2006/relationships/hyperlink" Target="https://www.nvidia.com/en-us/geforce/graphics-cards/50-series/rtx-5090/" TargetMode="External"/><Relationship Id="rId14" Type="http://schemas.openxmlformats.org/officeDocument/2006/relationships/hyperlink" Target="https://www.yuhang.gov.cn/col/col1229175234/art/2026/art_8451eb8324864752a8d121df2a8007d4.html" TargetMode="External"/><Relationship Id="rId15" Type="http://schemas.openxmlformats.org/officeDocument/2006/relationships/hyperlink" Target="https://jxj.hangzhou.gov.cn/col/col1229252271/art/2026/art_87786d11012e4295b52fdf3bce943872.html" TargetMode="External"/><Relationship Id="rId16" Type="http://schemas.openxmlformats.org/officeDocument/2006/relationships/hyperlink" Target="https://www.hhtz.gov.cn/col/col1229225928/art/2026/art_5a167e13c395414abfc95de936cd5813.html" TargetMode="External"/><Relationship Id="rId17" Type="http://schemas.openxmlformats.org/officeDocument/2006/relationships/hyperlink" Target="https://sheitc.sh.gov.cn/cyfz/20260507/cd1dcb1e5cb4449cbc36c69befafcc0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阿里云算力规划与商务谈判方案</dc:title>
  <dc:subject>第一期云资源规划｜2026年9月7日｜待审批/征询</dc:subject>
  <dc:creator>上海生声不息科技有限公司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