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C9A86A"/>
          <w:sz w:val="17"/>
        </w:rPr>
        <w:t>VOX BUSINESS DEVELOPER | CRM &amp; CRÉDITOS</w:t>
      </w:r>
    </w:p>
    <w:p>
      <w:pPr>
        <w:spacing w:before="200" w:after="80"/>
      </w:pPr>
      <w:r>
        <w:rPr>
          <w:rFonts w:ascii="Arial" w:hAnsi="Arial"/>
          <w:b/>
          <w:color w:val="090B0E"/>
          <w:sz w:val="44"/>
        </w:rPr>
        <w:t>Manual de Capacitación y Uso</w:t>
      </w:r>
    </w:p>
    <w:p>
      <w:pPr>
        <w:spacing w:after="400"/>
      </w:pPr>
      <w:r>
        <w:rPr>
          <w:rFonts w:ascii="Arial" w:hAnsi="Arial"/>
          <w:color w:val="C9A86A"/>
          <w:sz w:val="24"/>
        </w:rPr>
        <w:t>Sistema Integral de Créditos, Cobranza Manual y Killswitch para Sitios Web</w:t>
      </w:r>
    </w:p>
    <w:p>
      <w:pPr>
        <w:spacing w:after="360"/>
      </w:pPr>
      <w:r>
        <w:rPr>
          <w:color w:val="C9A86A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rFonts w:ascii="Arial" w:hAnsi="Arial"/>
          <w:b/>
          <w:color w:val="090B0E"/>
          <w:sz w:val="28"/>
        </w:rPr>
        <w:t>1. Resumen Ejecutivo y Arquitectura</w:t>
      </w:r>
    </w:p>
    <w:p>
      <w:pPr>
        <w:spacing w:line="288" w:lineRule="auto" w:after="200"/>
      </w:pPr>
      <w:r>
        <w:t>Este sistema permite a VOX Business Developer ofrecer sitios web profesionales financiados a plazos (por ejemplo: 8 mensualidades de $1,000 MXN), garantizando el cumplimiento de pago mediante un mecanismo de verificación remota y suspensión estética (Killswitch).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26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Ubicación</w:t>
            </w:r>
          </w:p>
        </w:tc>
        <w:tc>
          <w:tcPr>
            <w:tcW w:type="dxa" w:w="326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Función Principal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Dashboard VOX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/admin (Pestaña Créditos)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Alta de clientes, control de cuotas, suspensión/reactivación con 1 clic.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Base de Datos Cloud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Supabase (Tablas + RPC)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Almacén en tiempo real, registro de pagos y validación pública segura.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Script Cliente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vox-license.js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Script ligero (&lt;3KB) en el &lt;head&gt; de la web del cliente para verificar estado.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090B0E"/>
          <w:sz w:val="28"/>
        </w:rPr>
        <w:t>2. Guía de Operación Paso a Paso</w:t>
      </w:r>
    </w:p>
    <w:p>
      <w:pPr>
        <w:spacing w:before="160" w:after="40"/>
      </w:pPr>
      <w:r>
        <w:rPr>
          <w:rFonts w:ascii="Arial" w:hAnsi="Arial"/>
          <w:b/>
          <w:color w:val="C9A86A"/>
          <w:sz w:val="22"/>
        </w:rPr>
        <w:t>Paso 1: Dar de alta un nuevo crédito</w:t>
      </w:r>
    </w:p>
    <w:p>
      <w:pPr>
        <w:spacing w:after="200" w:line="276" w:lineRule="auto"/>
      </w:pPr>
      <w:r>
        <w:rPr>
          <w:rFonts w:ascii="Arial" w:hAnsi="Arial"/>
          <w:color w:val="1E293B"/>
          <w:sz w:val="19"/>
        </w:rPr>
        <w:t>1. Ingresa al panel de administración en https://voxbusinessdeveloper.com/admin</w:t>
        <w:br/>
        <w:t>2. En el menú lateral o en la barra superior, haz clic en 'Créditos &amp; Sitios'.</w:t>
        <w:br/>
        <w:t>3. Presiona el botón dorado '+ Nuevo Crédito de Sitio'.</w:t>
        <w:br/>
        <w:t>4. Completa el formulario: Titular, Dominio URL, WhatsApp de cobranza, Plazo (ej. 8 meses), Mensualidad ($1,000 MXN) y Día de corte.</w:t>
        <w:br/>
        <w:t>5. Revisa la tarjeta de resumen financiero en tiempo real y presiona 'Crear y Generar Token de Protección'.</w:t>
      </w:r>
    </w:p>
    <w:p>
      <w:pPr>
        <w:spacing w:before="160" w:after="40"/>
      </w:pPr>
      <w:r>
        <w:rPr>
          <w:rFonts w:ascii="Arial" w:hAnsi="Arial"/>
          <w:b/>
          <w:color w:val="C9A86A"/>
          <w:sz w:val="22"/>
        </w:rPr>
        <w:t>Paso 2: Instalar el código en el sitio web del cliente</w:t>
      </w:r>
    </w:p>
    <w:p>
      <w:pPr>
        <w:spacing w:after="200" w:line="276" w:lineRule="auto"/>
      </w:pPr>
      <w:r>
        <w:rPr>
          <w:rFonts w:ascii="Arial" w:hAnsi="Arial"/>
          <w:color w:val="1E293B"/>
          <w:sz w:val="19"/>
        </w:rPr>
        <w:t>1. Al registrar el cliente, el modal te entregará el tag embebible listo con su token único:</w:t>
        <w:br/>
        <w:t xml:space="preserve">   &lt;script src="https://voxbusinessdeveloper.com/assets/js/vox-license.js" data-vox-site="vox_site_xxxxx" defer&gt;&lt;/script&gt;</w:t>
        <w:br/>
        <w:t>2. Haz clic en 'Copiar Código'.</w:t>
        <w:br/>
        <w:t>3. Pega este snippet dentro de la etiqueta &lt;head&gt; de la página web del cliente.</w:t>
        <w:br/>
        <w:t>4. El sitio web ahora está enlazado a tu centro de control.</w:t>
      </w:r>
    </w:p>
    <w:p>
      <w:pPr>
        <w:spacing w:before="160" w:after="40"/>
      </w:pPr>
      <w:r>
        <w:rPr>
          <w:rFonts w:ascii="Arial" w:hAnsi="Arial"/>
          <w:b/>
          <w:color w:val="C9A86A"/>
          <w:sz w:val="22"/>
        </w:rPr>
        <w:t>Paso 3: Registrar pagos mensuales manuales</w:t>
      </w:r>
    </w:p>
    <w:p>
      <w:pPr>
        <w:spacing w:after="200" w:line="276" w:lineRule="auto"/>
      </w:pPr>
      <w:r>
        <w:rPr>
          <w:rFonts w:ascii="Arial" w:hAnsi="Arial"/>
          <w:color w:val="1E293B"/>
          <w:sz w:val="19"/>
        </w:rPr>
        <w:t>1. Cuando el cliente realice su transferencia SPEI o pago en efectivo, localiza su tarjeta en 'Créditos &amp; Sitios'.</w:t>
        <w:br/>
        <w:t>2. Presiona el botón verde '💳 Registrar Pago'.</w:t>
        <w:br/>
        <w:t>3. El sistema autocompletará la cuota siguiente (ej. Cuota 2 de 8) y el monto ($1,000).</w:t>
        <w:br/>
        <w:t>4. Ingresa el número de referencia o folio bancario y presiona 'Confirmar Pago de Cuota'.</w:t>
        <w:br/>
        <w:t>5. La barra de progreso aumentará automáticamente (ej. 3/8) y se sumará al total cobrado.</w:t>
      </w:r>
    </w:p>
    <w:p>
      <w:pPr>
        <w:spacing w:before="160" w:after="40"/>
      </w:pPr>
      <w:r>
        <w:rPr>
          <w:rFonts w:ascii="Arial" w:hAnsi="Arial"/>
          <w:b/>
          <w:color w:val="C9A86A"/>
          <w:sz w:val="22"/>
        </w:rPr>
        <w:t>Paso 4: Cobranza y recordatorios vía WhatsApp</w:t>
      </w:r>
    </w:p>
    <w:p>
      <w:pPr>
        <w:spacing w:after="200" w:line="276" w:lineRule="auto"/>
      </w:pPr>
      <w:r>
        <w:rPr>
          <w:rFonts w:ascii="Arial" w:hAnsi="Arial"/>
          <w:color w:val="1E293B"/>
          <w:sz w:val="19"/>
        </w:rPr>
        <w:t>1. Para recordar el vencimiento de una cuota, haz clic en el botón 'WhatsApp' de la tarjeta del cliente.</w:t>
        <w:br/>
        <w:t>2. Se abrirá una conversación directa con un mensaje prediseñado que incluye el dominio del cliente, número de cuota a pagar y monto acordado.</w:t>
      </w:r>
    </w:p>
    <w:p>
      <w:pPr>
        <w:spacing w:before="160" w:after="40"/>
      </w:pPr>
      <w:r>
        <w:rPr>
          <w:rFonts w:ascii="Arial" w:hAnsi="Arial"/>
          <w:b/>
          <w:color w:val="C9A86A"/>
          <w:sz w:val="22"/>
        </w:rPr>
        <w:t>Paso 5: Activar o desactivar el Killswitch (Suspensión)</w:t>
      </w:r>
    </w:p>
    <w:p>
      <w:pPr>
        <w:spacing w:after="200" w:line="276" w:lineRule="auto"/>
      </w:pPr>
      <w:r>
        <w:rPr>
          <w:rFonts w:ascii="Arial" w:hAnsi="Arial"/>
          <w:color w:val="1E293B"/>
          <w:sz w:val="19"/>
        </w:rPr>
        <w:t>1. Si el cliente tiene un atraso de pago, presiona el botón rojo '🛡️ Suspender Sitio'.</w:t>
        <w:br/>
        <w:t>2. Escribe el motivo del bloqueo (ej. 'Falta de pago cuota 3').</w:t>
        <w:br/>
        <w:t>3. De forma inmediata, cualquier visitante de su página web verá una pantalla elegante de VOX que informa: 'Sitio Web Temporalmente Inactivo por Administración del Servicio' junto con un botón para contactarte por WhatsApp.</w:t>
        <w:br/>
        <w:t>4. En cuanto el cliente pague, presiona '⚡ Reactivar Sitio' o registra su pago para desbloquearlo al instante.</w:t>
      </w:r>
    </w:p>
    <w:p>
      <w:pPr>
        <w:pStyle w:val="Heading1"/>
      </w:pPr>
      <w:r>
        <w:rPr>
          <w:rFonts w:ascii="Arial" w:hAnsi="Arial"/>
          <w:b/>
          <w:color w:val="090B0E"/>
          <w:sz w:val="28"/>
        </w:rPr>
        <w:t>3. Estados de Licencia y Comportamiento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26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Color en Panel</w:t>
            </w:r>
          </w:p>
        </w:tc>
        <w:tc>
          <w:tcPr>
            <w:tcW w:type="dxa" w:w="326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Comportamiento en el Sitio Web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Activo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Verde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El sitio web carga con 100% de normalidad y máxima velocidad.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Por Vencer (En Gracia)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Naranja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El sitio web funciona normal. Alerta en el dashboard para emitir recordatorio.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Suspendido (Killswitch)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Rojo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Sitio bloqueado. Despliega la cortina corporativa VOX con contacto a WhatsApp.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Liquidado (8/8)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Dorado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Completó la totalidad de cuotas. El sitio queda liberado permanentemente.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Arial" w:hAnsi="Arial"/>
          <w:b/>
          <w:color w:val="090B0E"/>
          <w:sz w:val="28"/>
        </w:rPr>
        <w:t>4. Preguntas Frecuentes y Buenas Prácticas</w:t>
      </w:r>
    </w:p>
    <w:p>
      <w:pPr>
        <w:spacing w:before="120" w:after="40"/>
      </w:pPr>
      <w:r>
        <w:rPr>
          <w:rFonts w:ascii="Arial" w:hAnsi="Arial"/>
          <w:b/>
          <w:color w:val="090B0E"/>
          <w:sz w:val="20"/>
        </w:rPr>
        <w:t>• ¿Qué pasa si el servidor de Supabase se cae o no hay internet?</w:t>
      </w:r>
    </w:p>
    <w:p>
      <w:pPr>
        <w:spacing w:after="160"/>
        <w:ind w:left="288"/>
      </w:pPr>
      <w:r>
        <w:rPr>
          <w:rFonts w:ascii="Arial" w:hAnsi="Arial"/>
          <w:color w:val="64748B"/>
          <w:sz w:val="19"/>
        </w:rPr>
        <w:t>El script cliente está configurado en modo 'Fail-Open'. Si no puede comunicarse con el servidor, NO bloqueará el sitio del cliente para evitar falsos positivos.</w:t>
      </w:r>
    </w:p>
    <w:p>
      <w:pPr>
        <w:spacing w:before="120" w:after="40"/>
      </w:pPr>
      <w:r>
        <w:rPr>
          <w:rFonts w:ascii="Arial" w:hAnsi="Arial"/>
          <w:b/>
          <w:color w:val="090B0E"/>
          <w:sz w:val="20"/>
        </w:rPr>
        <w:t>• ¿Afecta la velocidad o SEO de la página del cliente?</w:t>
      </w:r>
    </w:p>
    <w:p>
      <w:pPr>
        <w:spacing w:after="160"/>
        <w:ind w:left="288"/>
      </w:pPr>
      <w:r>
        <w:rPr>
          <w:rFonts w:ascii="Arial" w:hAnsi="Arial"/>
          <w:color w:val="64748B"/>
          <w:sz w:val="19"/>
        </w:rPr>
        <w:t>No. El script se ejecuta de manera asíncrona no bloqueante (defer) y pesa menos de 3 KB. Además, utiliza almacenamiento local (sessionStorage) para no hacer peticiones innecesarias cada vez que el usuario navega entre páginas.</w:t>
      </w:r>
    </w:p>
    <w:p>
      <w:pPr>
        <w:spacing w:before="120" w:after="40"/>
      </w:pPr>
      <w:r>
        <w:rPr>
          <w:rFonts w:ascii="Arial" w:hAnsi="Arial"/>
          <w:b/>
          <w:color w:val="090B0E"/>
          <w:sz w:val="20"/>
        </w:rPr>
        <w:t>• ¿El cliente puede ver el monto o datos privados en el código?</w:t>
      </w:r>
    </w:p>
    <w:p>
      <w:pPr>
        <w:spacing w:after="160"/>
        <w:ind w:left="288"/>
      </w:pPr>
      <w:r>
        <w:rPr>
          <w:rFonts w:ascii="Arial" w:hAnsi="Arial"/>
          <w:color w:val="64748B"/>
          <w:sz w:val="19"/>
        </w:rPr>
        <w:t>No. La consulta pública se realiza a través de una función RPC segura en Supabase que únicamente devuelve el estado booleano y el nombre del titular sin exponer tablas ni información sensible.</w:t>
      </w:r>
    </w:p>
    <w:p>
      <w:pPr>
        <w:spacing w:before="400"/>
        <w:jc w:val="center"/>
      </w:pPr>
      <w:r>
        <w:rPr>
          <w:rFonts w:ascii="Arial" w:hAnsi="Arial"/>
          <w:color w:val="C9A86A"/>
          <w:sz w:val="17"/>
        </w:rPr>
        <w:t>Documento Oficial de Operación ― VOX Business Developer © 2026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