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color w:val="FF5500"/>
          <w:sz w:val="24"/>
        </w:rPr>
        <w:t>VOX BUSINESS DEVELOPER</w:t>
        <w:br/>
      </w:r>
      <w:r>
        <w:rPr>
          <w:b/>
          <w:color w:val="0D1117"/>
          <w:sz w:val="40"/>
        </w:rPr>
        <w:t>Propuesta Técnica: Sistema de Créditos, Cobranza y Bloqueo de Sitios Web (Killswitch)</w:t>
      </w:r>
    </w:p>
    <w:p>
      <w:pPr>
        <w:spacing w:before="0" w:after="320"/>
      </w:pPr>
      <w:r>
        <w:rPr>
          <w:i/>
          <w:color w:val="4B5563"/>
          <w:sz w:val="22"/>
        </w:rPr>
        <w:t>Plan Operativo de Financiamiento (8 Meses x $1,000 MXN), Control Administrativo y Protección Tecnológica del Servicio</w:t>
      </w:r>
    </w:p>
    <w:p>
      <w:pPr>
        <w:spacing w:before="0" w:after="320"/>
      </w:pPr>
      <w:r>
        <w:rPr>
          <w:color w:val="E5E7EB"/>
        </w:rPr>
        <w:t>―――――――――――――――――――――――――――――――――――――――――――――――――――――――</w:t>
      </w:r>
    </w:p>
    <w:p>
      <w:pPr>
        <w:pStyle w:val="Heading1"/>
        <w:spacing w:after="120"/>
      </w:pPr>
      <w:r>
        <w:rPr>
          <w:b/>
          <w:color w:val="0D1117"/>
          <w:sz w:val="28"/>
        </w:rPr>
        <w:t>1. Resumen Ejecutivo</w:t>
      </w:r>
    </w:p>
    <w:p>
      <w:pPr>
        <w:spacing w:after="200" w:line="276" w:lineRule="auto"/>
      </w:pPr>
      <w:r>
        <w:t xml:space="preserve">Con el objetivo de facilitar el acceso a sitios web de alto nivel para empresas y emprendedores, VOX implementará un esquema de financiamiento propio consistente en </w:t>
      </w:r>
      <w:r>
        <w:rPr>
          <w:b/>
        </w:rPr>
        <w:t>8 mensualidades de $1,000.00 MXN (Total: $8,000.00 MXN)</w:t>
      </w:r>
      <w:r>
        <w:t xml:space="preserve">. Para garantizar la rentabilidad, certidumbre en el cobro y minimizar el riesgo de morosidad, se diseñará un sistema tecnológico integral con </w:t>
      </w:r>
      <w:r>
        <w:rPr>
          <w:b/>
        </w:rPr>
        <w:t xml:space="preserve">cobranza manual eficiente, registro de pagos y un mecanismo de desactivación inmediata (Killswitch) </w:t>
      </w:r>
      <w:r>
        <w:t>que suspende la página web del cliente de forma automatizada y elegante en caso de impago.</w:t>
      </w:r>
    </w:p>
    <w:p>
      <w:pPr>
        <w:pStyle w:val="Heading1"/>
        <w:spacing w:after="120"/>
      </w:pPr>
      <w:r>
        <w:rPr>
          <w:b/>
          <w:color w:val="0D1117"/>
          <w:sz w:val="28"/>
        </w:rPr>
        <w:t>2. Los Tres Pilares de la Solución</w:t>
      </w:r>
    </w:p>
    <w:p>
      <w:pPr>
        <w:spacing w:after="80"/>
      </w:pPr>
      <w:r>
        <w:rPr>
          <w:b/>
          <w:color w:val="FF5500"/>
          <w:sz w:val="22"/>
        </w:rPr>
        <w:t>A. Script de Verificación y Bloqueo (Killswitch Embebible)</w:t>
        <w:br/>
      </w:r>
      <w:r>
        <w:t>• Snippet de código ultraligero (&lt;3KB) insertado en el encabezado de las webs de los clientes.</w:t>
        <w:br/>
        <w:t>• Al cargar la web, consulta en milisegundos el estado de la licencia en la nube de VOX.</w:t>
        <w:br/>
        <w:t>• Si el cliente está 'Al Corriente': la web carga con velocidad óptima y 100% transparente.</w:t>
        <w:br/>
        <w:t>• Si el cliente está 'Suspendido': se despliega un telón de bloqueo institucional VOX indicando que el sitio se encuentra temporalmente inactivo por gestión administrativa, con botón directo a WhatsApp de VOX.</w:t>
      </w:r>
    </w:p>
    <w:p>
      <w:pPr>
        <w:spacing w:after="80"/>
      </w:pPr>
      <w:r>
        <w:rPr>
          <w:b/>
          <w:color w:val="FF5500"/>
          <w:sz w:val="22"/>
        </w:rPr>
        <w:t>B. Módulo de Créditos y Cobranza en Dashboard VOX (/admin)</w:t>
        <w:br/>
      </w:r>
      <w:r>
        <w:t>• Pestaña dedicada 'Créditos &amp; Sitios' dentro del panel de administración actual.</w:t>
        <w:br/>
        <w:t>• Monitor en tiempo real: Clientes activos, cuotas cobradas en el mes y sitios en mora.</w:t>
        <w:br/>
        <w:t>• Barra de progreso visual por cliente (ej. '3 de 8 Meses Pagados - $3,000 / $8,000 MXN').</w:t>
        <w:br/>
        <w:t>• Interruptor Killswitch manual (1-Click) para suspender o reactivar un sitio web en segundos.</w:t>
      </w:r>
    </w:p>
    <w:p>
      <w:pPr>
        <w:spacing w:after="240"/>
      </w:pPr>
      <w:r>
        <w:rPr>
          <w:b/>
          <w:color w:val="FF5500"/>
          <w:sz w:val="22"/>
        </w:rPr>
        <w:t>C. Flujo Operativo de Cobro Manual Simplificado</w:t>
        <w:br/>
      </w:r>
      <w:r>
        <w:t>• Registro de pagos en 1 solo clic tras recibir transferencias SPEI, OXXO o efectivo.</w:t>
        <w:br/>
        <w:t>• Historial de transacciones con fecha, método de pago y folio de referencia.</w:t>
        <w:br/>
        <w:t>• Botón de 'Recordatorio por WhatsApp' que redacta un mensaje automático con el saldo y fecha de corte del cliente.</w:t>
        <w:br/>
        <w:t>• Liberación permanente (Liquidación): Al completar el mes 8/8, la web queda liberada de forma definitiva.</w:t>
      </w:r>
    </w:p>
    <w:p>
      <w:pPr>
        <w:pStyle w:val="Heading1"/>
        <w:spacing w:after="120"/>
      </w:pPr>
      <w:r>
        <w:rPr>
          <w:b/>
          <w:color w:val="0D1117"/>
          <w:sz w:val="28"/>
        </w:rPr>
        <w:t>3. Estados de Licencia y Reglas del Negocio</w:t>
      </w:r>
    </w:p>
    <w:tbl>
      <w:tblPr>
        <w:tblW w:type="auto" w:w="0"/>
        <w:jc w:val="center"/>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3120"/>
        <w:gridCol w:w="3120"/>
        <w:gridCol w:w="3120"/>
      </w:tblGrid>
      <w:tr>
        <w:tc>
          <w:tcPr>
            <w:tcW w:type="dxa" w:w="3120"/>
            <w:shd w:fill="0D1117"/>
          </w:tcPr>
          <w:p>
            <w:pPr>
              <w:spacing w:before="80" w:after="80"/>
            </w:pPr>
            <w:r>
              <w:rPr>
                <w:b/>
                <w:color w:val="FFFFFF"/>
                <w:sz w:val="20"/>
              </w:rPr>
              <w:t>Estado del Sitio</w:t>
            </w:r>
          </w:p>
        </w:tc>
        <w:tc>
          <w:tcPr>
            <w:tcW w:type="dxa" w:w="3120"/>
            <w:shd w:fill="0D1117"/>
          </w:tcPr>
          <w:p>
            <w:pPr>
              <w:spacing w:before="80" w:after="80"/>
            </w:pPr>
            <w:r>
              <w:rPr>
                <w:b/>
                <w:color w:val="FFFFFF"/>
                <w:sz w:val="20"/>
              </w:rPr>
              <w:t>Condición / Regla de Tiempo</w:t>
            </w:r>
          </w:p>
        </w:tc>
        <w:tc>
          <w:tcPr>
            <w:tcW w:type="dxa" w:w="3120"/>
            <w:shd w:fill="0D1117"/>
          </w:tcPr>
          <w:p>
            <w:pPr>
              <w:spacing w:before="80" w:after="80"/>
            </w:pPr>
            <w:r>
              <w:rPr>
                <w:b/>
                <w:color w:val="FFFFFF"/>
                <w:sz w:val="20"/>
              </w:rPr>
              <w:t>Efecto Visual en la Web</w:t>
            </w:r>
          </w:p>
        </w:tc>
      </w:tr>
      <w:tr>
        <w:tc>
          <w:tcPr>
            <w:tcW w:type="dxa" w:w="3120"/>
            <w:shd w:fill="FFFFFF"/>
          </w:tcPr>
          <w:p>
            <w:pPr>
              <w:spacing w:before="80" w:after="80"/>
            </w:pPr>
            <w:r>
              <w:rPr>
                <w:b/>
                <w:sz w:val="19"/>
              </w:rPr>
              <w:t>Activo (Al Corriente)</w:t>
            </w:r>
          </w:p>
        </w:tc>
        <w:tc>
          <w:tcPr>
            <w:tcW w:type="dxa" w:w="3120"/>
            <w:shd w:fill="FFFFFF"/>
          </w:tcPr>
          <w:p>
            <w:pPr>
              <w:spacing w:before="80" w:after="80"/>
            </w:pPr>
            <w:r>
              <w:rPr>
                <w:sz w:val="19"/>
              </w:rPr>
              <w:t>Mensualidad pagada dentro de la fecha de corte.</w:t>
            </w:r>
          </w:p>
        </w:tc>
        <w:tc>
          <w:tcPr>
            <w:tcW w:type="dxa" w:w="3120"/>
            <w:shd w:fill="FFFFFF"/>
          </w:tcPr>
          <w:p>
            <w:pPr>
              <w:spacing w:before="80" w:after="80"/>
            </w:pPr>
            <w:r>
              <w:rPr>
                <w:sz w:val="19"/>
              </w:rPr>
              <w:t>Sitio 100% funcional y visible para sus clientes.</w:t>
            </w:r>
          </w:p>
        </w:tc>
      </w:tr>
      <w:tr>
        <w:tc>
          <w:tcPr>
            <w:tcW w:type="dxa" w:w="3120"/>
            <w:shd w:fill="F3F4F6"/>
          </w:tcPr>
          <w:p>
            <w:pPr>
              <w:spacing w:before="80" w:after="80"/>
            </w:pPr>
            <w:r>
              <w:rPr>
                <w:b/>
                <w:sz w:val="19"/>
              </w:rPr>
              <w:t>En Gracia (Tolerancia)</w:t>
            </w:r>
          </w:p>
        </w:tc>
        <w:tc>
          <w:tcPr>
            <w:tcW w:type="dxa" w:w="3120"/>
            <w:shd w:fill="F3F4F6"/>
          </w:tcPr>
          <w:p>
            <w:pPr>
              <w:spacing w:before="80" w:after="80"/>
            </w:pPr>
            <w:r>
              <w:rPr>
                <w:sz w:val="19"/>
              </w:rPr>
              <w:t>1 a 3 días posteriores al corte sin registrar pago.</w:t>
            </w:r>
          </w:p>
        </w:tc>
        <w:tc>
          <w:tcPr>
            <w:tcW w:type="dxa" w:w="3120"/>
            <w:shd w:fill="F3F4F6"/>
          </w:tcPr>
          <w:p>
            <w:pPr>
              <w:spacing w:before="80" w:after="80"/>
            </w:pPr>
            <w:r>
              <w:rPr>
                <w:sz w:val="19"/>
              </w:rPr>
              <w:t>Sitio visible. Alerta preventiva en Dashboard para recordatorio por WhatsApp.</w:t>
            </w:r>
          </w:p>
        </w:tc>
      </w:tr>
      <w:tr>
        <w:tc>
          <w:tcPr>
            <w:tcW w:type="dxa" w:w="3120"/>
            <w:shd w:fill="FFFFFF"/>
          </w:tcPr>
          <w:p>
            <w:pPr>
              <w:spacing w:before="80" w:after="80"/>
            </w:pPr>
            <w:r>
              <w:rPr>
                <w:b/>
                <w:sz w:val="19"/>
              </w:rPr>
              <w:t>Suspendido (Mora)</w:t>
            </w:r>
          </w:p>
        </w:tc>
        <w:tc>
          <w:tcPr>
            <w:tcW w:type="dxa" w:w="3120"/>
            <w:shd w:fill="FFFFFF"/>
          </w:tcPr>
          <w:p>
            <w:pPr>
              <w:spacing w:before="80" w:after="80"/>
            </w:pPr>
            <w:r>
              <w:rPr>
                <w:sz w:val="19"/>
              </w:rPr>
              <w:t>4+ días vencido o forzado manualmente por el admin.</w:t>
            </w:r>
          </w:p>
        </w:tc>
        <w:tc>
          <w:tcPr>
            <w:tcW w:type="dxa" w:w="3120"/>
            <w:shd w:fill="FFFFFF"/>
          </w:tcPr>
          <w:p>
            <w:pPr>
              <w:spacing w:before="80" w:after="80"/>
            </w:pPr>
            <w:r>
              <w:rPr>
                <w:sz w:val="19"/>
              </w:rPr>
              <w:t>Pantalla bloqueada con aviso elegante VOX y botón de pago/contacto.</w:t>
            </w:r>
          </w:p>
        </w:tc>
      </w:tr>
      <w:tr>
        <w:tc>
          <w:tcPr>
            <w:tcW w:type="dxa" w:w="3120"/>
            <w:shd w:fill="F3F4F6"/>
          </w:tcPr>
          <w:p>
            <w:pPr>
              <w:spacing w:before="80" w:after="80"/>
            </w:pPr>
            <w:r>
              <w:rPr>
                <w:b/>
                <w:sz w:val="19"/>
              </w:rPr>
              <w:t>Liquidado (8/8 Pagos)</w:t>
            </w:r>
          </w:p>
        </w:tc>
        <w:tc>
          <w:tcPr>
            <w:tcW w:type="dxa" w:w="3120"/>
            <w:shd w:fill="F3F4F6"/>
          </w:tcPr>
          <w:p>
            <w:pPr>
              <w:spacing w:before="80" w:after="80"/>
            </w:pPr>
            <w:r>
              <w:rPr>
                <w:sz w:val="19"/>
              </w:rPr>
              <w:t>Completó los 8 meses acordados ($8,000 MXN).</w:t>
            </w:r>
          </w:p>
        </w:tc>
        <w:tc>
          <w:tcPr>
            <w:tcW w:type="dxa" w:w="3120"/>
            <w:shd w:fill="F3F4F6"/>
          </w:tcPr>
          <w:p>
            <w:pPr>
              <w:spacing w:before="80" w:after="80"/>
            </w:pPr>
            <w:r>
              <w:rPr>
                <w:sz w:val="19"/>
              </w:rPr>
              <w:t>Sitio liberado permanentemente de cualquier restricción.</w:t>
            </w:r>
          </w:p>
        </w:tc>
      </w:tr>
    </w:tbl>
    <w:p>
      <w:pPr>
        <w:spacing w:after="200"/>
      </w:pPr>
    </w:p>
    <w:p>
      <w:pPr>
        <w:pStyle w:val="Heading1"/>
        <w:spacing w:after="120"/>
      </w:pPr>
      <w:r>
        <w:rPr>
          <w:b/>
          <w:color w:val="0D1117"/>
          <w:sz w:val="28"/>
        </w:rPr>
        <w:t>4. Respaldo Legal (Cláusula de Reserva de Dominio)</w:t>
      </w:r>
    </w:p>
    <w:p>
      <w:pPr>
        <w:spacing w:line="276" w:lineRule="auto" w:after="240"/>
      </w:pPr>
      <w:r>
        <w:t>Para total transparencia con el cliente, en la cotización o contrato de servicio se incluirá la siguiente especificación:</w:t>
        <w:br/>
        <w:br/>
      </w:r>
      <w:r>
        <w:rPr>
          <w:i/>
          <w:color w:val="1F2937"/>
          <w:sz w:val="20"/>
        </w:rPr>
        <w:t>«El desarrollo web se entrega bajo esquema de financiamiento directo en 8 mensualidades sucesivas de $1,000.00 MXN con reserva de dominio del código y hosting. El servicio de visualización y disponibilidad del sitio web está condicionado al cumplimiento puntual de cada cuota. En caso de presentar un retraso superior a los días de gracia establecidos, el sitio web entrará en suspensión técnica temporal hasta la liquidación de la mensualidad vencida, sin responsabilidad para VOX Business Developer por pérdidas comerciales derivadas de dicha suspensión.»</w:t>
      </w:r>
    </w:p>
    <w:p>
      <w:pPr>
        <w:pStyle w:val="Heading1"/>
        <w:spacing w:after="120"/>
      </w:pPr>
      <w:r>
        <w:rPr>
          <w:b/>
          <w:color w:val="0D1117"/>
          <w:sz w:val="28"/>
        </w:rPr>
        <w:t>5. Cronograma de Entrega y Fases Técnicas</w:t>
      </w:r>
    </w:p>
    <w:p>
      <w:pPr>
        <w:spacing w:after="80"/>
      </w:pPr>
      <w:r>
        <w:t>1. Base de Datos en Supabase: Creación de tablas de créditos, historial de pagos y endpoint de validación seguro.</w:t>
        <w:br/>
        <w:t>2. Script Killswitch (vox-license.js): Código embebible con overlay corporativo de suspensión y botón de contacto.</w:t>
        <w:br/>
        <w:t>3. Interfaz en Dashboard (/admin): Pestaña de Créditos, registro de pagos SPEI/Efectivo, barras de avance y switch de suspensión.</w:t>
        <w:br/>
        <w:t>4. Generador de Snippets: Botón para copiar el script listo con el token del cliente para pegar en su página web.</w:t>
        <w:br/>
        <w:t>5. Pruebas de Despliegue: Simulación de corte, suspensión en tiempo real y reactivación instantánea.</w:t>
      </w:r>
    </w:p>
    <w:p>
      <w:pPr>
        <w:spacing w:before="480"/>
      </w:pPr>
      <w:r>
        <w:rPr>
          <w:color w:val="4B5563"/>
          <w:sz w:val="20"/>
        </w:rPr>
        <w:t>Preparado para Dirección General</w:t>
        <w:br/>
      </w:r>
      <w:r>
        <w:rPr>
          <w:b/>
          <w:color w:val="0D1117"/>
          <w:sz w:val="20"/>
        </w:rPr>
        <w:t>VOX Business Developer — Área de Desarrollo Tecnológico &amp; Operaciones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