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61A1F"/>
            <w:tcMar>
              <w:top w:w="200" w:type="dxa"/>
              <w:bottom w:w="200" w:type="dxa"/>
              <w:left w:w="250" w:type="dxa"/>
              <w:right w:w="25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40"/>
              </w:rPr>
              <w:t>VOX BUSINESS DEVELOPER</w:t>
              <w:br/>
            </w:r>
            <w:r>
              <w:rPr>
                <w:rFonts w:ascii="Segoe UI" w:hAnsi="Segoe UI"/>
                <w:b/>
                <w:color w:val="FF6A00"/>
                <w:sz w:val="26"/>
              </w:rPr>
              <w:t>INFORME TÉCNICO DE ACTUALIZACIÓN &amp; GUÍA DE CLAVES API</w:t>
            </w:r>
          </w:p>
        </w:tc>
      </w:tr>
    </w:tbl>
    <w:p/>
    <w:p>
      <w:pPr>
        <w:spacing w:after="240"/>
      </w:pPr>
      <w:r>
        <w:rPr>
          <w:b/>
          <w:color w:val="161A1F"/>
        </w:rPr>
        <w:t xml:space="preserve">Proyecto: </w:t>
      </w:r>
      <w:r>
        <w:t xml:space="preserve">voxiabusinessdeveloper/voxbusinessdeveloper   |   </w:t>
      </w:r>
      <w:r>
        <w:rPr>
          <w:b/>
          <w:color w:val="161A1F"/>
        </w:rPr>
        <w:t xml:space="preserve">Rama: </w:t>
      </w:r>
      <w:r>
        <w:t xml:space="preserve">main   |   </w:t>
      </w:r>
      <w:r>
        <w:rPr>
          <w:b/>
          <w:color w:val="161A1F"/>
        </w:rPr>
        <w:t xml:space="preserve">Estado: </w:t>
      </w:r>
      <w:r>
        <w:rPr>
          <w:b/>
          <w:color w:val="27AE60"/>
        </w:rPr>
        <w:t>Desplegado y Validado</w:t>
      </w:r>
    </w:p>
    <w:p>
      <w:pPr>
        <w:pStyle w:val="Heading1"/>
      </w:pPr>
      <w:r>
        <w:rPr>
          <w:rFonts w:ascii="Segoe UI" w:hAnsi="Segoe UI"/>
          <w:color w:val="161A1F"/>
        </w:rPr>
        <w:t>1. Resumen de la Última Actualización</w:t>
      </w:r>
    </w:p>
    <w:p>
      <w:r>
        <w:rPr>
          <w:sz w:val="21"/>
        </w:rPr>
        <w:t xml:space="preserve">Se corrigieron y optimizaron directamente en la rama </w:t>
      </w:r>
      <w:r>
        <w:rPr>
          <w:b/>
        </w:rPr>
        <w:t>main</w:t>
      </w:r>
      <w:r>
        <w:t xml:space="preserve"> los módulos de captura de clientes potenciales, la pasarela de creación de créditos y el registro de pagos, garantizando que el sistema no presente falsos positivos y proteja la integridad de los datos.</w:t>
      </w:r>
    </w:p>
    <w:p>
      <w:pPr>
        <w:pStyle w:val="ListBullet"/>
        <w:spacing w:after="80"/>
      </w:pPr>
      <w:r>
        <w:rPr>
          <w:rFonts w:ascii="Segoe UI" w:hAnsi="Segoe UI"/>
          <w:b/>
          <w:color w:val="161A1F"/>
        </w:rPr>
        <w:t xml:space="preserve">Procesamiento Seguro de Leads (/api/leads): </w:t>
      </w:r>
      <w:r>
        <w:rPr>
          <w:rFonts w:ascii="Segoe UI" w:hAnsi="Segoe UI"/>
          <w:sz w:val="20"/>
        </w:rPr>
        <w:t>Si la inserción en Supabase falla o no hay conexión, el servidor retorna código 502 Bad Gateway y bajo ninguna circunstancia devuelve éxito falso. Los correos de notificación solo se envían tras asegurar el registro en la base de datos.</w:t>
      </w:r>
    </w:p>
    <w:p>
      <w:pPr>
        <w:pStyle w:val="ListBullet"/>
        <w:spacing w:after="80"/>
      </w:pPr>
      <w:r>
        <w:rPr>
          <w:rFonts w:ascii="Segoe UI" w:hAnsi="Segoe UI"/>
          <w:b/>
          <w:color w:val="161A1F"/>
        </w:rPr>
        <w:t xml:space="preserve">Correo Electrónico Estrictamente Obligatorio: </w:t>
      </w:r>
      <w:r>
        <w:rPr>
          <w:rFonts w:ascii="Segoe UI" w:hAnsi="Segoe UI"/>
          <w:sz w:val="20"/>
        </w:rPr>
        <w:t>Se definió la obligatoriedad del campo de correo electrónico con validación de sintaxis regex. Envíos incompletos se rechazan con código 400 Bad Request.</w:t>
      </w:r>
    </w:p>
    <w:p>
      <w:pPr>
        <w:pStyle w:val="ListBullet"/>
        <w:spacing w:after="80"/>
      </w:pPr>
      <w:r>
        <w:rPr>
          <w:rFonts w:ascii="Segoe UI" w:hAnsi="Segoe UI"/>
          <w:b/>
          <w:color w:val="161A1F"/>
        </w:rPr>
        <w:t xml:space="preserve">Anti-Spam Inteligente y sin Fricción: </w:t>
      </w:r>
      <w:r>
        <w:rPr>
          <w:rFonts w:ascii="Segoe UI" w:hAnsi="Segoe UI"/>
          <w:sz w:val="20"/>
        </w:rPr>
        <w:t>Se eliminó la validación casera de tokens. El formulario funciona de inmediato y está blindado con Honeypot invisible + Rate Limiting por IP (máximo 5 solicitudes/minuto). No requiere que los usuarios resuelvan molestos captchas.</w:t>
      </w:r>
    </w:p>
    <w:p>
      <w:pPr>
        <w:pStyle w:val="ListBullet"/>
        <w:spacing w:after="80"/>
      </w:pPr>
      <w:r>
        <w:rPr>
          <w:rFonts w:ascii="Segoe UI" w:hAnsi="Segoe UI"/>
          <w:b/>
          <w:color w:val="161A1F"/>
        </w:rPr>
        <w:t xml:space="preserve">Creación de Créditos Web (admin/dashboard.js): </w:t>
      </w:r>
      <w:r>
        <w:rPr>
          <w:rFonts w:ascii="Segoe UI" w:hAnsi="Segoe UI"/>
          <w:sz w:val="20"/>
        </w:rPr>
        <w:t>Al generar un crédito a plazos, el sistema exige confirmación positiva de Supabase. Si la inserción falla, muestra el error, no guarda nada ficticio localmente y mantiene el formulario abierto e intacto.</w:t>
      </w:r>
    </w:p>
    <w:p>
      <w:pPr>
        <w:pStyle w:val="ListBullet"/>
        <w:spacing w:after="80"/>
      </w:pPr>
      <w:r>
        <w:rPr>
          <w:rFonts w:ascii="Segoe UI" w:hAnsi="Segoe UI"/>
          <w:b/>
          <w:color w:val="161A1F"/>
        </w:rPr>
        <w:t xml:space="preserve">Registro de Pagos Blindado (admin/dashboard.js): </w:t>
      </w:r>
      <w:r>
        <w:rPr>
          <w:rFonts w:ascii="Segoe UI" w:hAnsi="Segoe UI"/>
          <w:sz w:val="20"/>
        </w:rPr>
        <w:t>Se validan tanto la inserción en el historial de pagos como la actualización del estado del crédito antes de marcar visualmente el pago como confirmado en la interfaz.</w:t>
      </w:r>
    </w:p>
    <w:p>
      <w:pPr>
        <w:pStyle w:val="ListBullet"/>
        <w:spacing w:after="80"/>
      </w:pPr>
      <w:r>
        <w:rPr>
          <w:rFonts w:ascii="Segoe UI" w:hAnsi="Segoe UI"/>
          <w:b/>
          <w:color w:val="161A1F"/>
        </w:rPr>
        <w:t xml:space="preserve">Experiencia de Usuario en Formularios (script.js y servicio.js): </w:t>
      </w:r>
      <w:r>
        <w:rPr>
          <w:rFonts w:ascii="Segoe UI" w:hAnsi="Segoe UI"/>
          <w:sz w:val="20"/>
        </w:rPr>
        <w:t>Los formularios de la landing page y servicios solo cambian a la tarjeta de éxito tras confirmación efectiva del servidor; ante cualquier error, informan al visitante y le permiten reintentar o pulsar el botón de WhatsApp directo.</w:t>
      </w:r>
    </w:p>
    <w:p/>
    <w:p>
      <w:pPr>
        <w:pStyle w:val="Heading1"/>
      </w:pPr>
      <w:r>
        <w:rPr>
          <w:rFonts w:ascii="Segoe UI" w:hAnsi="Segoe UI"/>
          <w:color w:val="161A1F"/>
        </w:rPr>
        <w:t>2. Estado de Claves API y Variables de Entorno</w:t>
      </w:r>
    </w:p>
    <w:p>
      <w:r>
        <w:rPr>
          <w:sz w:val="21"/>
        </w:rPr>
        <w:t xml:space="preserve">Dado que ya cuentas con </w:t>
      </w:r>
      <w:r>
        <w:rPr>
          <w:b/>
        </w:rPr>
        <w:t>SUPABASE_URL</w:t>
      </w:r>
      <w:r>
        <w:rPr>
          <w:sz w:val="21"/>
        </w:rPr>
        <w:t xml:space="preserve"> y </w:t>
      </w:r>
      <w:r>
        <w:rPr>
          <w:b/>
        </w:rPr>
        <w:t>SUPABASE_SERVICE_ROLE_KEY</w:t>
      </w:r>
      <w:r>
        <w:t xml:space="preserve"> en línea, el núcleo del sistema se encuentra 100% operativo. La siguiente tabla resume las credenciales configuradas y las variables opcionales: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61A1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Variable de Entorno</w:t>
            </w:r>
          </w:p>
        </w:tc>
        <w:tc>
          <w:tcPr>
            <w:tcW w:type="dxa" w:w="2484"/>
            <w:shd w:fill="161A1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Estado Actual</w:t>
            </w:r>
          </w:p>
        </w:tc>
        <w:tc>
          <w:tcPr>
            <w:tcW w:type="dxa" w:w="2484"/>
            <w:shd w:fill="161A1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Propósito / Servicio</w:t>
            </w:r>
          </w:p>
        </w:tc>
        <w:tc>
          <w:tcPr>
            <w:tcW w:type="dxa" w:w="2484"/>
            <w:shd w:fill="161A1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¿Es Obligatoria?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Segoe UI" w:hAnsi="Segoe UI"/>
                <w:b/>
                <w:sz w:val="18"/>
              </w:rPr>
              <w:t>SUPABASE_URL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E8F8F0"/>
          </w:tcPr>
          <w:p>
            <w:r>
              <w:rPr>
                <w:rFonts w:ascii="Segoe UI" w:hAnsi="Segoe UI"/>
                <w:b/>
                <w:color w:val="27AE60"/>
                <w:sz w:val="18"/>
              </w:rPr>
              <w:t>EN LÍNEA (Configurada)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Dirección del proyecto Supabase.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161A1F"/>
                <w:sz w:val="18"/>
              </w:rPr>
              <w:t>SÍ (Activo)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Segoe UI" w:hAnsi="Segoe UI"/>
                <w:b/>
                <w:sz w:val="18"/>
              </w:rPr>
              <w:t>SUPABASE_SERVICE_ROLE_KEY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E8F8F0"/>
          </w:tcPr>
          <w:p>
            <w:r>
              <w:rPr>
                <w:rFonts w:ascii="Segoe UI" w:hAnsi="Segoe UI"/>
                <w:b/>
                <w:color w:val="27AE60"/>
                <w:sz w:val="18"/>
              </w:rPr>
              <w:t>EN LÍNEA (Configurada)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Llave maestra para inserción de leads y administración de créditos.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161A1F"/>
                <w:sz w:val="18"/>
              </w:rPr>
              <w:t>SÍ (Activo)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Segoe UI" w:hAnsi="Segoe UI"/>
                <w:b/>
                <w:sz w:val="18"/>
              </w:rPr>
              <w:t>RESEND_API_KEY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DFEFE"/>
          </w:tcPr>
          <w:p>
            <w:r>
              <w:rPr>
                <w:rFonts w:ascii="Segoe UI" w:hAnsi="Segoe UI"/>
                <w:color w:val="646E7D"/>
                <w:sz w:val="18"/>
              </w:rPr>
              <w:t>Opcional / Pendiente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Envío de correos estilizados en HTML para nuevos leads.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NO (Fallback a FormSubmit)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Segoe UI" w:hAnsi="Segoe UI"/>
                <w:b/>
                <w:sz w:val="18"/>
              </w:rPr>
              <w:t>NOTIFICATION_EMAIL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DFEFE"/>
          </w:tcPr>
          <w:p>
            <w:r>
              <w:rPr>
                <w:rFonts w:ascii="Segoe UI" w:hAnsi="Segoe UI"/>
                <w:color w:val="646E7D"/>
                <w:sz w:val="18"/>
              </w:rPr>
              <w:t>Opcional (Por defecto lista)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Correo receptor de prospectos (vox.iabusinessdeveloper@gmail.com).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NO (Tiene valor por defecto)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Segoe UI" w:hAnsi="Segoe UI"/>
                <w:b/>
                <w:sz w:val="18"/>
              </w:rPr>
              <w:t>TURNSTILE_SECRET_KEY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DFEFE"/>
          </w:tcPr>
          <w:p>
            <w:r>
              <w:rPr>
                <w:rFonts w:ascii="Segoe UI" w:hAnsi="Segoe UI"/>
                <w:color w:val="646E7D"/>
                <w:sz w:val="18"/>
              </w:rPr>
              <w:t>Opcional (No configurada)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Clave secreta de Cloudflare Turnstile si a futuro se desea activar.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NO (No es requerida)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Segoe UI" w:hAnsi="Segoe UI"/>
                <w:b/>
                <w:sz w:val="18"/>
              </w:rPr>
              <w:t>RECAPTCHA_SECRET_KEY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DFEFE"/>
          </w:tcPr>
          <w:p>
            <w:r>
              <w:rPr>
                <w:rFonts w:ascii="Segoe UI" w:hAnsi="Segoe UI"/>
                <w:color w:val="646E7D"/>
                <w:sz w:val="18"/>
              </w:rPr>
              <w:t>Opcional (No configurada)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Clave secreta de Google reCAPTCHA alternativa.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NO (No es requerida)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Segoe UI" w:hAnsi="Segoe UI"/>
                <w:b/>
                <w:sz w:val="18"/>
              </w:rPr>
              <w:t>REQUIRE_ANTISPAM_VERIFICATION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Desactivada (Recomendado)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Forzar rechazo de envíos si no hay captcha de proveedor.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sz w:val="18"/>
              </w:rPr>
              <w:t>NO (Mantener en false)</w:t>
            </w:r>
          </w:p>
        </w:tc>
      </w:tr>
    </w:tbl>
    <w:p/>
    <w:p>
      <w:pPr>
        <w:pStyle w:val="Heading1"/>
      </w:pPr>
      <w:r>
        <w:rPr>
          <w:rFonts w:ascii="Segoe UI" w:hAnsi="Segoe UI"/>
          <w:color w:val="161A1F"/>
        </w:rPr>
        <w:t>3. Aclaración: ¿Es obligatorio configurar el Anti-Spam?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5E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6A00"/>
                <w:sz w:val="22"/>
              </w:rPr>
              <w:t>RESPUESTA: NO ES OBLIGATORIO (NO ES "A JURO").</w:t>
              <w:br/>
              <w:br/>
            </w:r>
            <w:r>
              <w:rPr>
                <w:color w:val="161A1F"/>
                <w:sz w:val="19"/>
              </w:rPr>
              <w:t>Tu página web funciona al 100% de inmediato sin necesidad de contratar ni configurar proveedores de captcha externos. El sistema protege tus formularios de forma transparente mediante:</w:t>
              <w:br/>
              <w:br/>
              <w:t>• Honeypot Invisible: Campo trampa oculto que los bots llenan pero los clientes humanos no ven.</w:t>
              <w:br/>
              <w:t>• Rate Limiting por IP: Máximo 5 solicitudes por minuto por usuario para evitar ataques de spam masivo.</w:t>
              <w:br/>
              <w:t>• Sanitización y Validación de Correo: Limpia caracteres maliciosos y verifica formato de email.</w:t>
              <w:br/>
              <w:br/>
              <w:t>Solo si en el futuro deseas agregar Cloudflare Turnstile o Google reCAPTCHA, bastará con añadir la variable correspondiente en Vercel sin tocar el código fuente.</w:t>
            </w:r>
          </w:p>
        </w:tc>
      </w:tr>
    </w:tbl>
    <w:p/>
    <w:p>
      <w:pPr>
        <w:pStyle w:val="Heading1"/>
      </w:pPr>
      <w:r>
        <w:rPr>
          <w:rFonts w:ascii="Segoe UI" w:hAnsi="Segoe UI"/>
          <w:color w:val="161A1F"/>
        </w:rPr>
        <w:t>4. Archivos Modificados y Validados en el Repositorio</w:t>
      </w:r>
    </w:p>
    <w:p>
      <w:pPr>
        <w:pStyle w:val="ListBullet"/>
        <w:spacing w:after="60"/>
      </w:pPr>
      <w:r>
        <w:rPr>
          <w:rFonts w:ascii="Consolas" w:hAnsi="Consolas"/>
          <w:b/>
          <w:color w:val="FF6A00"/>
          <w:sz w:val="19"/>
        </w:rPr>
        <w:t xml:space="preserve">api/leads.js: </w:t>
      </w:r>
      <w:r>
        <w:rPr>
          <w:rFonts w:ascii="Segoe UI" w:hAnsi="Segoe UI"/>
          <w:sz w:val="19"/>
        </w:rPr>
        <w:t>Serverless Function para procesamiento de leads, rate limiting, validación estricta de correo e inserción obligatoria en Supabase.</w:t>
      </w:r>
    </w:p>
    <w:p>
      <w:pPr>
        <w:pStyle w:val="ListBullet"/>
        <w:spacing w:after="60"/>
      </w:pPr>
      <w:r>
        <w:rPr>
          <w:rFonts w:ascii="Consolas" w:hAnsi="Consolas"/>
          <w:b/>
          <w:color w:val="FF6A00"/>
          <w:sz w:val="19"/>
        </w:rPr>
        <w:t xml:space="preserve">admin/dashboard.js: </w:t>
      </w:r>
      <w:r>
        <w:rPr>
          <w:rFonts w:ascii="Segoe UI" w:hAnsi="Segoe UI"/>
          <w:sz w:val="19"/>
        </w:rPr>
        <w:t>Lógica del CRM; verificación de respuestas de Supabase antes de crear créditos o confirmar pagos.</w:t>
      </w:r>
    </w:p>
    <w:p>
      <w:pPr>
        <w:pStyle w:val="ListBullet"/>
        <w:spacing w:after="60"/>
      </w:pPr>
      <w:r>
        <w:rPr>
          <w:rFonts w:ascii="Consolas" w:hAnsi="Consolas"/>
          <w:b/>
          <w:color w:val="FF6A00"/>
          <w:sz w:val="19"/>
        </w:rPr>
        <w:t xml:space="preserve">assets/js/lead-service.js: </w:t>
      </w:r>
      <w:r>
        <w:rPr>
          <w:rFonts w:ascii="Segoe UI" w:hAnsi="Segoe UI"/>
          <w:sz w:val="19"/>
        </w:rPr>
        <w:t>Servicio cliente de leads con soporte de captchas reales y propagación de errores hacia la interfaz.</w:t>
      </w:r>
    </w:p>
    <w:p>
      <w:pPr>
        <w:pStyle w:val="ListBullet"/>
        <w:spacing w:after="60"/>
      </w:pPr>
      <w:r>
        <w:rPr>
          <w:rFonts w:ascii="Consolas" w:hAnsi="Consolas"/>
          <w:b/>
          <w:color w:val="FF6A00"/>
          <w:sz w:val="19"/>
        </w:rPr>
        <w:t xml:space="preserve">script.js: </w:t>
      </w:r>
      <w:r>
        <w:rPr>
          <w:rFonts w:ascii="Segoe UI" w:hAnsi="Segoe UI"/>
          <w:sz w:val="19"/>
        </w:rPr>
        <w:t>Manejador del formulario principal de la landing page con feedback de error y protección.</w:t>
      </w:r>
    </w:p>
    <w:p>
      <w:pPr>
        <w:pStyle w:val="ListBullet"/>
        <w:spacing w:after="60"/>
      </w:pPr>
      <w:r>
        <w:rPr>
          <w:rFonts w:ascii="Consolas" w:hAnsi="Consolas"/>
          <w:b/>
          <w:color w:val="FF6A00"/>
          <w:sz w:val="19"/>
        </w:rPr>
        <w:t xml:space="preserve">servicio.js: </w:t>
      </w:r>
      <w:r>
        <w:rPr>
          <w:rFonts w:ascii="Segoe UI" w:hAnsi="Segoe UI"/>
          <w:sz w:val="19"/>
        </w:rPr>
        <w:t>Manejador de los modales de contacto por servicio individual.</w:t>
      </w:r>
    </w:p>
    <w:p>
      <w:pPr>
        <w:pStyle w:val="ListBullet"/>
        <w:spacing w:after="60"/>
      </w:pPr>
      <w:r>
        <w:rPr>
          <w:rFonts w:ascii="Consolas" w:hAnsi="Consolas"/>
          <w:b/>
          <w:color w:val="FF6A00"/>
          <w:sz w:val="19"/>
        </w:rPr>
        <w:t xml:space="preserve">.gitignore: </w:t>
      </w:r>
      <w:r>
        <w:rPr>
          <w:rFonts w:ascii="Segoe UI" w:hAnsi="Segoe UI"/>
          <w:sz w:val="19"/>
        </w:rPr>
        <w:t>Protección de seguridad para archivos .env y credenciales locales.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