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Chapter 1</w:t>
      </w:r>
    </w:p>
    <w:p>
      <w:r>
        <w:t>Opening section with enough words to pass merge thresholds in the manuscript import pipeline for automated tests. Opening section with enough words to pass merge thresholds in the manuscript import pipeline for automated tests. Opening section with enough words to pass merge thresholds in the manuscript import pipeline for automated tests. </w:t>
      </w:r>
    </w:p>
    <w:p>
      <w:pPr>
        <w:pStyle w:val="Heading1"/>
      </w:pPr>
      <w:r>
        <w:t>Chapter 2</w:t>
      </w:r>
    </w:p>
    <w:p>
      <w:r>
        <w:t>Second section continues with additional words so chapter detection from styled headings remains stable in end to end tests. Second section continues with additional words so chapter detection from styled headings remains stable in end to end tests. Second section continues with additional words so chapter detection from styled headings remains stable in end to end tests. </w:t>
      </w:r>
    </w:p>
  </w:body>
</w:document>
</file>

<file path=word/_rels/document.xml.rels><?xml version="1.0" encoding="UTF-8" standalone="yes"?><Relationships xmlns="http://schemas.openxmlformats.org/package/2006/relationships"/>
</file>