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32"/>
        </w:rPr>
        <w:t>Supplementary Methods</w:t>
      </w:r>
    </w:p>
    <w:p>
      <w:pPr>
        <w:spacing w:after="80"/>
        <w:jc w:val="center"/>
      </w:pPr>
      <w:r>
        <w:rPr>
          <w:rFonts w:ascii="Times New Roman" w:hAnsi="Times New Roman"/>
          <w:b w:val="0"/>
          <w:i/>
          <w:sz w:val="24"/>
        </w:rPr>
        <w:t>Beyond all-or-none: systematic variability in action potential waveforms</w:t>
      </w:r>
    </w:p>
    <w:p>
      <w:pPr>
        <w:spacing w:after="240"/>
        <w:jc w:val="center"/>
      </w:pPr>
      <w:r>
        <w:rPr>
          <w:rFonts w:ascii="Times New Roman" w:hAnsi="Times New Roman"/>
          <w:b w:val="0"/>
          <w:i w:val="0"/>
          <w:sz w:val="20"/>
        </w:rPr>
        <w:t>Blanca Martin-Burgos, Pamela D. Riviere, Ryan Hammonds, Ashley Juavinett, Bradley Voytek</w:t>
      </w:r>
    </w:p>
    <w:p>
      <w:pPr>
        <w:spacing w:before="80" w:after="80"/>
        <w:pBdr>
          <w:bottom w:val="single" w:sz="6" w:space="1" w:color="auto"/>
        </w:pBdr>
      </w:pPr>
    </w:p>
    <w:p>
      <w:pPr>
        <w:keepNext/>
        <w:spacing w:before="280" w:after="80"/>
      </w:pPr>
      <w:r>
        <w:rPr>
          <w:rFonts w:ascii="Times New Roman" w:hAnsi="Times New Roman"/>
          <w:b/>
          <w:i w:val="0"/>
          <w:sz w:val="26"/>
        </w:rPr>
        <w:t>S1. Open Data Sources</w:t>
      </w:r>
    </w:p>
    <w:p>
      <w:pPr>
        <w:keepNext/>
        <w:spacing w:before="160" w:after="40"/>
      </w:pPr>
      <w:r>
        <w:rPr>
          <w:rFonts w:ascii="Times New Roman" w:hAnsi="Times New Roman"/>
          <w:b w:val="0"/>
          <w:i/>
          <w:sz w:val="22"/>
        </w:rPr>
        <w:t>Dataset 1: pvc-6 (controlled stimulation, mouse visual cortex)</w:t>
      </w:r>
    </w:p>
    <w:p>
      <w:pPr>
        <w:spacing w:before="0" w:after="160" w:line="440" w:lineRule="exact"/>
      </w:pPr>
      <w:r>
        <w:rPr>
          <w:rFonts w:ascii="Times New Roman" w:hAnsi="Times New Roman"/>
          <w:b w:val="0"/>
          <w:i w:val="0"/>
          <w:sz w:val="22"/>
        </w:rPr>
        <w:t>In vitro whole-cell current clamp recordings were obtained from neurons in the adult mouse visual cortex. The dataset was downloaded from the Collaborative Research in Computational Neuroscience (CRCNS) database (Berg, 2014; http://dx.doi.org/10.6080/K0H12ZXD), which additionally describes the data acquisition protocol in detail. Recordings were sampled at 200 kHz and are available for two neurons, one of which was a molecularly confirmed somatostatin (SST)-positive visual cortical neuron. Each neuron received current injections in the form of short (3 ms) and long (500 ms) square pulses (constant current), linearly increasing current (ramp), and three variants of pink noise (1/f) current stimulation. For one neuron, pink noise current injections were scaled to 100%, 125%, and 150% relative to the intensity of the 500 ms square pulse. For the SST neuron, pink noise stimulation was scaled to 75%, 100%, and 125% of the intensity of the 500 ms square pulse.</w:t>
      </w:r>
    </w:p>
    <w:p>
      <w:pPr>
        <w:keepNext/>
        <w:spacing w:before="160" w:after="40"/>
      </w:pPr>
      <w:r>
        <w:rPr>
          <w:rFonts w:ascii="Times New Roman" w:hAnsi="Times New Roman"/>
          <w:b w:val="0"/>
          <w:i/>
          <w:sz w:val="22"/>
        </w:rPr>
        <w:t>Dataset 2: spe-1 (simultaneous LFP and intracellular recording, rat cortex)</w:t>
      </w:r>
    </w:p>
    <w:p>
      <w:pPr>
        <w:spacing w:before="0" w:after="160" w:line="440" w:lineRule="exact"/>
      </w:pPr>
      <w:r>
        <w:rPr>
          <w:rFonts w:ascii="Times New Roman" w:hAnsi="Times New Roman"/>
          <w:b w:val="0"/>
          <w:i w:val="0"/>
          <w:sz w:val="22"/>
        </w:rPr>
        <w:t>Complementary metal-oxide-semiconductor (CMOS) Neuropixels probes and patch-clamp recordings of cortical neurons were used to acquire simultaneous local field potential (LFP) and intracellular neuronal activity in anesthetized rats. This dataset was recorded and organized by Marques-Smith et al. (preprint) and is openly available on CRCNS (spe-1; http://dx.doi.org/10.6080/K0J67F4T) as well as a public Google Drive folder (http://bit.ly/paired_recs). Details regarding data access, loading, and processing are available at https://github.com/kampff-lab. Neuropixels signals were acquired at 30 kHz, with action potential (AP) and LFP bands digitized separately (AP band at 30 kHz, LFP band at 2.5 kHz). Patch-clamp signals were acquired at approximately 50.023 kHz (exact rates differed per cell, ranging from 50,023.87 to 50,023.92 Hz). The majority of recordings were performed in current-clamp, cell-attached (juxtacellular) configuration, though a subset used whole-cell current-clamp or voltage-clamp configuration.</w:t>
      </w:r>
    </w:p>
    <w:p>
      <w:pPr>
        <w:keepNext/>
        <w:spacing w:before="160" w:after="40"/>
      </w:pPr>
      <w:r>
        <w:rPr>
          <w:rFonts w:ascii="Times New Roman" w:hAnsi="Times New Roman"/>
          <w:b w:val="0"/>
          <w:i/>
          <w:sz w:val="22"/>
        </w:rPr>
        <w:t>Cell selection and metadata (spe-1)</w:t>
      </w:r>
    </w:p>
    <w:p>
      <w:pPr>
        <w:spacing w:before="0" w:after="160" w:line="440" w:lineRule="exact"/>
      </w:pPr>
      <w:r>
        <w:rPr>
          <w:rFonts w:ascii="Times New Roman" w:hAnsi="Times New Roman"/>
          <w:b w:val="0"/>
          <w:i w:val="0"/>
          <w:sz w:val="22"/>
        </w:rPr>
        <w:t>A total of 43 neurons were included in analysis (out of 46 cells c1-c46 in the full dataset, with some gaps in numbering). Recording regions spanned primary motor cortex and primary somatosensory cortex (forelimb, hindlimb, and trunk representations). Cell types were classified as putative pyramidal cells (PC; n = 38) or interneurons (IN; n = 5: cells c7, c8, c12, c16, c18, c22), based on extracellular AP waveform morphology (trough-to-peak and half-width duration). Cortical depth was estimated from the Neuropixels channel position and ranged from approximately 389 to 1,754 um. A subset of cells were identified as 'dark neurons' (not detected by Kilosort or lacking a clear extracellular AP on the Neuropixels channel). For each cell, the Neuropixels channel closest to the recorded neuron was selected based on the channel that maximized peak-to-peak extracellular AP amplitude.</w:t>
      </w:r>
    </w:p>
    <w:p>
      <w:pPr>
        <w:spacing w:before="0" w:after="160" w:line="440" w:lineRule="exact"/>
      </w:pPr>
      <w:r>
        <w:rPr>
          <w:rFonts w:ascii="Times New Roman" w:hAnsi="Times New Roman"/>
          <w:b w:val="0"/>
          <w:i w:val="0"/>
          <w:sz w:val="22"/>
        </w:rPr>
        <w:t>Seven priority cells (c3, c4, c21, c24, c26, c27, c42) were identified post hoc as showing the strongest spike waveform cluster differences (highest mean normalized RMSE across features) and were used for detailed analyses and figure illustrations. These cells showed mean nRMSE values of 0.13-0.18, compared to the majority of non-priority cells which clustered near 0.00. Three cells (c8, c14, c26) were additionally identified as showing high waveform variability with low temporal drift and were used for illustrative single-cell analyses.</w:t>
      </w:r>
    </w:p>
    <w:p>
      <w:pPr>
        <w:keepNext/>
        <w:spacing w:before="280" w:after="80"/>
      </w:pPr>
      <w:r>
        <w:rPr>
          <w:rFonts w:ascii="Times New Roman" w:hAnsi="Times New Roman"/>
          <w:b/>
          <w:i w:val="0"/>
          <w:sz w:val="26"/>
        </w:rPr>
        <w:t>S2. Signal Preprocessing</w:t>
      </w:r>
    </w:p>
    <w:p>
      <w:pPr>
        <w:keepNext/>
        <w:spacing w:before="160" w:after="40"/>
      </w:pPr>
      <w:r>
        <w:rPr>
          <w:rFonts w:ascii="Times New Roman" w:hAnsi="Times New Roman"/>
          <w:b w:val="0"/>
          <w:i/>
          <w:sz w:val="22"/>
        </w:rPr>
        <w:t>pvc-6</w:t>
      </w:r>
    </w:p>
    <w:p>
      <w:pPr>
        <w:spacing w:before="0" w:after="160" w:line="440" w:lineRule="exact"/>
      </w:pPr>
      <w:r>
        <w:rPr>
          <w:rFonts w:ascii="Times New Roman" w:hAnsi="Times New Roman"/>
          <w:b w:val="0"/>
          <w:i w:val="0"/>
          <w:sz w:val="22"/>
        </w:rPr>
        <w:t>Recordings were loaded directly from CRCNS in their provided format. No additional filtering was applied to the patch-clamp signal prior to spike detection, as recordings were already at 200 kHz with a high signal-to-noise ratio. Spike times and stimulus epoch labels (constant, ramp, pink noise) were extracted from the stimulus channel.</w:t>
      </w:r>
    </w:p>
    <w:p>
      <w:pPr>
        <w:keepNext/>
        <w:spacing w:before="160" w:after="40"/>
      </w:pPr>
      <w:r>
        <w:rPr>
          <w:rFonts w:ascii="Times New Roman" w:hAnsi="Times New Roman"/>
          <w:b w:val="0"/>
          <w:i/>
          <w:sz w:val="22"/>
        </w:rPr>
        <w:t>spe-1</w:t>
      </w:r>
    </w:p>
    <w:p>
      <w:pPr>
        <w:spacing w:before="0" w:after="160" w:line="440" w:lineRule="exact"/>
      </w:pPr>
      <w:r>
        <w:rPr>
          <w:rFonts w:ascii="Times New Roman" w:hAnsi="Times New Roman"/>
          <w:b w:val="0"/>
          <w:i w:val="0"/>
          <w:sz w:val="22"/>
        </w:rPr>
        <w:t>Raw binary recordings were loaded using custom Python routines. Each signal type was bandpass filtered using a 4th-order Butterworth filter applied in zero-phase mode (forward and backward pass; scipy.signal.sosfiltfilt) with the following frequency bands: patch-clamp signal [10-25,000 Hz]; Neuropixels raw signal [300-14,000 Hz]; LFP signal [0.1-250 Hz]. Neuropixels data were stored as 16-bit integers and reshaped to (384 channels x samples) in Fortran order; the single channel corresponding to each recorded neuron was extracted using the per-cell channel mapping. Filtered signals were saved as NumPy (.npy) arrays for downstream analysis.</w:t>
      </w:r>
    </w:p>
    <w:p>
      <w:pPr>
        <w:keepNext/>
        <w:spacing w:before="280" w:after="80"/>
      </w:pPr>
      <w:r>
        <w:rPr>
          <w:rFonts w:ascii="Times New Roman" w:hAnsi="Times New Roman"/>
          <w:b/>
          <w:i w:val="0"/>
          <w:sz w:val="26"/>
        </w:rPr>
        <w:t>S3. Spike Detection</w:t>
      </w:r>
    </w:p>
    <w:p>
      <w:pPr>
        <w:spacing w:before="0" w:after="160" w:line="440" w:lineRule="exact"/>
      </w:pPr>
      <w:r>
        <w:rPr>
          <w:rFonts w:ascii="Times New Roman" w:hAnsi="Times New Roman"/>
          <w:b w:val="0"/>
          <w:i w:val="0"/>
          <w:sz w:val="22"/>
        </w:rPr>
        <w:t>Action potentials were detected from the patch-clamp signal using per-cell amplitude thresholds (pvc-6: derived from the stimulus protocol; spe-1: per-cell thresholds ranged from 0.81 to 137.2 mV). Spike times were defined as the index of threshold crossing, and each spike waveform was extracted as a fixed-length window centered around the waveform peak. Duplicate detections within a refractory period were removed. Spikes were aligned to their peak (maximum voltage) prior to parameterization.</w:t>
      </w:r>
    </w:p>
    <w:p>
      <w:pPr>
        <w:keepNext/>
        <w:spacing w:before="280" w:after="80"/>
      </w:pPr>
      <w:r>
        <w:rPr>
          <w:rFonts w:ascii="Times New Roman" w:hAnsi="Times New Roman"/>
          <w:b/>
          <w:i w:val="0"/>
          <w:sz w:val="26"/>
        </w:rPr>
        <w:t>S4. Action Potential Waveform Parameterization</w:t>
      </w:r>
    </w:p>
    <w:p>
      <w:pPr>
        <w:spacing w:before="0" w:after="160" w:line="440" w:lineRule="exact"/>
      </w:pPr>
      <w:r>
        <w:rPr>
          <w:rFonts w:ascii="Times New Roman" w:hAnsi="Times New Roman"/>
          <w:b w:val="0"/>
          <w:i w:val="0"/>
          <w:sz w:val="22"/>
        </w:rPr>
        <w:t>We developed a novel parameterization approach (implemented in the open-source spikeparam Python package; https://github.com/voytekresearch) that quantifies fine-scale features of action potential waveforms using an overcomplete set of intra-spike and inter-spike features. The parameterization pipeline is described in detail below.</w:t>
      </w:r>
    </w:p>
    <w:p>
      <w:pPr>
        <w:keepNext/>
        <w:spacing w:before="160" w:after="40"/>
      </w:pPr>
      <w:r>
        <w:rPr>
          <w:rFonts w:ascii="Times New Roman" w:hAnsi="Times New Roman"/>
          <w:b w:val="0"/>
          <w:i/>
          <w:sz w:val="22"/>
        </w:rPr>
        <w:t>Control point detection</w:t>
      </w:r>
    </w:p>
    <w:p>
      <w:pPr>
        <w:spacing w:before="0" w:after="160" w:line="440" w:lineRule="exact"/>
      </w:pPr>
      <w:r>
        <w:rPr>
          <w:rFonts w:ascii="Times New Roman" w:hAnsi="Times New Roman"/>
          <w:b w:val="0"/>
          <w:i w:val="0"/>
          <w:sz w:val="22"/>
        </w:rPr>
        <w:t>For each spike waveform, we first computed the first derivative and smoothed it using locally weighted scatterplot smoothing (LOWESS; smoothing fraction = 0.008; implemented via statsmodels.nonparametric.lowess). The peak index was defined as the sample with maximum voltage. The inflection point was detected by fitting two piecewise linear segments to the smoothed derivative in the pre-peak window (a ramp region from -4 to -1 ms before the derivative peak, and a fast-rise region from the derivative half-maximum to the derivative peak), and finding the intersection of the two fitted lines. The ramp start was defined as 1 ms before the inflection point. Rise and decay half-amplitude midpoints were computed from the voltage trace as the samples where the voltage was halfway between the inflection amplitude and the peak amplitude, on the rising and falling flanks respectively. The exponential window started 2 ms after the peak and extended for 5 ms (or until the end of the waveform, whichever came first).</w:t>
      </w:r>
    </w:p>
    <w:p>
      <w:pPr>
        <w:keepNext/>
        <w:spacing w:before="160" w:after="40"/>
      </w:pPr>
      <w:r>
        <w:rPr>
          <w:rFonts w:ascii="Times New Roman" w:hAnsi="Times New Roman"/>
          <w:b w:val="0"/>
          <w:i/>
          <w:sz w:val="22"/>
        </w:rPr>
        <w:t>Intra-spike features</w:t>
      </w:r>
    </w:p>
    <w:p>
      <w:pPr>
        <w:spacing w:before="0" w:after="160" w:line="440" w:lineRule="exact"/>
      </w:pPr>
      <w:r>
        <w:rPr>
          <w:rFonts w:ascii="Times New Roman" w:hAnsi="Times New Roman"/>
          <w:b w:val="0"/>
          <w:i w:val="0"/>
          <w:sz w:val="22"/>
        </w:rPr>
        <w:t>The following features were extracted from each spike waveform (see also Table S1):</w:t>
      </w:r>
    </w:p>
    <w:tbl>
      <w:tblPr>
        <w:tblStyle w:val="TableGrid"/>
        <w:tblW w:type="auto" w:w="0"/>
        <w:tblLook w:firstColumn="1" w:firstRow="1" w:lastColumn="0" w:lastRow="0" w:noHBand="0" w:noVBand="1" w:val="04A0"/>
      </w:tblPr>
      <w:tblGrid>
        <w:gridCol w:w="2340"/>
        <w:gridCol w:w="2340"/>
        <w:gridCol w:w="2340"/>
        <w:gridCol w:w="2340"/>
      </w:tblGrid>
      <w:tr>
        <w:tc>
          <w:tcPr>
            <w:tcW w:type="dxa" w:w="2016"/>
          </w:tcPr>
          <w:p>
            <w:pPr>
              <w:spacing w:before="40" w:after="40"/>
            </w:pPr>
            <w:r>
              <w:rPr>
                <w:rFonts w:ascii="Times New Roman" w:hAnsi="Times New Roman"/>
                <w:b/>
                <w:i w:val="0"/>
                <w:sz w:val="20"/>
              </w:rPr>
              <w:t>Feature</w:t>
            </w:r>
          </w:p>
        </w:tc>
        <w:tc>
          <w:tcPr>
            <w:tcW w:type="dxa" w:w="1728"/>
          </w:tcPr>
          <w:p>
            <w:pPr>
              <w:spacing w:before="40" w:after="40"/>
            </w:pPr>
            <w:r>
              <w:rPr>
                <w:rFonts w:ascii="Times New Roman" w:hAnsi="Times New Roman"/>
                <w:b/>
                <w:i w:val="0"/>
                <w:sz w:val="20"/>
              </w:rPr>
              <w:t>Symbol</w:t>
            </w:r>
          </w:p>
        </w:tc>
        <w:tc>
          <w:tcPr>
            <w:tcW w:type="dxa" w:w="5040"/>
          </w:tcPr>
          <w:p>
            <w:pPr>
              <w:spacing w:before="40" w:after="40"/>
            </w:pPr>
            <w:r>
              <w:rPr>
                <w:rFonts w:ascii="Times New Roman" w:hAnsi="Times New Roman"/>
                <w:b/>
                <w:i w:val="0"/>
                <w:sz w:val="20"/>
              </w:rPr>
              <w:t>Definition</w:t>
            </w:r>
          </w:p>
        </w:tc>
        <w:tc>
          <w:tcPr>
            <w:tcW w:type="dxa" w:w="1008"/>
          </w:tcPr>
          <w:p>
            <w:pPr>
              <w:spacing w:before="40" w:after="40"/>
            </w:pPr>
            <w:r>
              <w:rPr>
                <w:rFonts w:ascii="Times New Roman" w:hAnsi="Times New Roman"/>
                <w:b/>
                <w:i w:val="0"/>
                <w:sz w:val="20"/>
              </w:rPr>
              <w:t>Units</w:t>
            </w:r>
          </w:p>
        </w:tc>
      </w:tr>
      <w:tr>
        <w:tc>
          <w:tcPr>
            <w:tcW w:type="dxa" w:w="2016"/>
          </w:tcPr>
          <w:p>
            <w:pPr>
              <w:spacing w:before="40" w:after="40"/>
            </w:pPr>
            <w:r>
              <w:rPr>
                <w:rFonts w:ascii="Times New Roman" w:hAnsi="Times New Roman"/>
                <w:b w:val="0"/>
                <w:i w:val="0"/>
                <w:sz w:val="20"/>
              </w:rPr>
              <w:t>Ramp amplitude</w:t>
            </w:r>
          </w:p>
        </w:tc>
        <w:tc>
          <w:tcPr>
            <w:tcW w:type="dxa" w:w="1728"/>
          </w:tcPr>
          <w:p>
            <w:pPr>
              <w:spacing w:before="40" w:after="40"/>
            </w:pPr>
            <w:r>
              <w:rPr>
                <w:rFonts w:ascii="Times New Roman" w:hAnsi="Times New Roman"/>
                <w:b w:val="0"/>
                <w:i w:val="0"/>
                <w:sz w:val="20"/>
              </w:rPr>
              <w:t>ramp_amp</w:t>
            </w:r>
          </w:p>
        </w:tc>
        <w:tc>
          <w:tcPr>
            <w:tcW w:type="dxa" w:w="5040"/>
          </w:tcPr>
          <w:p>
            <w:pPr>
              <w:spacing w:before="40" w:after="40"/>
            </w:pPr>
            <w:r>
              <w:rPr>
                <w:rFonts w:ascii="Times New Roman" w:hAnsi="Times New Roman"/>
                <w:b w:val="0"/>
                <w:i w:val="0"/>
                <w:sz w:val="20"/>
              </w:rPr>
              <w:t>Slope of a first-order polynomial (linear) fit to the voltage in the 1 ms window immediately preceding the inflection point</w:t>
            </w:r>
          </w:p>
        </w:tc>
        <w:tc>
          <w:tcPr>
            <w:tcW w:type="dxa" w:w="1008"/>
          </w:tcPr>
          <w:p>
            <w:pPr>
              <w:spacing w:before="40" w:after="40"/>
            </w:pPr>
            <w:r>
              <w:rPr>
                <w:rFonts w:ascii="Times New Roman" w:hAnsi="Times New Roman"/>
                <w:b w:val="0"/>
                <w:i w:val="0"/>
                <w:sz w:val="20"/>
              </w:rPr>
              <w:t>mV/ms</w:t>
            </w:r>
          </w:p>
        </w:tc>
      </w:tr>
      <w:tr>
        <w:tc>
          <w:tcPr>
            <w:tcW w:type="dxa" w:w="2016"/>
          </w:tcPr>
          <w:p>
            <w:pPr>
              <w:spacing w:before="40" w:after="40"/>
            </w:pPr>
            <w:r>
              <w:rPr>
                <w:rFonts w:ascii="Times New Roman" w:hAnsi="Times New Roman"/>
                <w:b w:val="0"/>
                <w:i w:val="0"/>
                <w:sz w:val="20"/>
              </w:rPr>
              <w:t>Inflection time</w:t>
            </w:r>
          </w:p>
        </w:tc>
        <w:tc>
          <w:tcPr>
            <w:tcW w:type="dxa" w:w="1728"/>
          </w:tcPr>
          <w:p>
            <w:pPr>
              <w:spacing w:before="40" w:after="40"/>
            </w:pPr>
            <w:r>
              <w:rPr>
                <w:rFonts w:ascii="Times New Roman" w:hAnsi="Times New Roman"/>
                <w:b w:val="0"/>
                <w:i w:val="0"/>
                <w:sz w:val="20"/>
              </w:rPr>
              <w:t>inflection_time</w:t>
            </w:r>
          </w:p>
        </w:tc>
        <w:tc>
          <w:tcPr>
            <w:tcW w:type="dxa" w:w="5040"/>
          </w:tcPr>
          <w:p>
            <w:pPr>
              <w:spacing w:before="40" w:after="40"/>
            </w:pPr>
            <w:r>
              <w:rPr>
                <w:rFonts w:ascii="Times New Roman" w:hAnsi="Times New Roman"/>
                <w:b w:val="0"/>
                <w:i w:val="0"/>
                <w:sz w:val="20"/>
              </w:rPr>
              <w:t>Time of the inflection point relative to the peak (negative values indicate pre-peak)</w:t>
            </w:r>
          </w:p>
        </w:tc>
        <w:tc>
          <w:tcPr>
            <w:tcW w:type="dxa" w:w="1008"/>
          </w:tcPr>
          <w:p>
            <w:pPr>
              <w:spacing w:before="40" w:after="40"/>
            </w:pPr>
            <w:r>
              <w:rPr>
                <w:rFonts w:ascii="Times New Roman" w:hAnsi="Times New Roman"/>
                <w:b w:val="0"/>
                <w:i w:val="0"/>
                <w:sz w:val="20"/>
              </w:rPr>
              <w:t>ms</w:t>
            </w:r>
          </w:p>
        </w:tc>
      </w:tr>
      <w:tr>
        <w:tc>
          <w:tcPr>
            <w:tcW w:type="dxa" w:w="2016"/>
          </w:tcPr>
          <w:p>
            <w:pPr>
              <w:spacing w:before="40" w:after="40"/>
            </w:pPr>
            <w:r>
              <w:rPr>
                <w:rFonts w:ascii="Times New Roman" w:hAnsi="Times New Roman"/>
                <w:b w:val="0"/>
                <w:i w:val="0"/>
                <w:sz w:val="20"/>
              </w:rPr>
              <w:t>Inflection amplitude</w:t>
            </w:r>
          </w:p>
        </w:tc>
        <w:tc>
          <w:tcPr>
            <w:tcW w:type="dxa" w:w="1728"/>
          </w:tcPr>
          <w:p>
            <w:pPr>
              <w:spacing w:before="40" w:after="40"/>
            </w:pPr>
            <w:r>
              <w:rPr>
                <w:rFonts w:ascii="Times New Roman" w:hAnsi="Times New Roman"/>
                <w:b w:val="0"/>
                <w:i w:val="0"/>
                <w:sz w:val="20"/>
              </w:rPr>
              <w:t>inflection_amp</w:t>
            </w:r>
          </w:p>
        </w:tc>
        <w:tc>
          <w:tcPr>
            <w:tcW w:type="dxa" w:w="5040"/>
          </w:tcPr>
          <w:p>
            <w:pPr>
              <w:spacing w:before="40" w:after="40"/>
            </w:pPr>
            <w:r>
              <w:rPr>
                <w:rFonts w:ascii="Times New Roman" w:hAnsi="Times New Roman"/>
                <w:b w:val="0"/>
                <w:i w:val="0"/>
                <w:sz w:val="20"/>
              </w:rPr>
              <w:t>Membrane voltage at the inflection point</w:t>
            </w:r>
          </w:p>
        </w:tc>
        <w:tc>
          <w:tcPr>
            <w:tcW w:type="dxa" w:w="1008"/>
          </w:tcPr>
          <w:p>
            <w:pPr>
              <w:spacing w:before="40" w:after="40"/>
            </w:pPr>
            <w:r>
              <w:rPr>
                <w:rFonts w:ascii="Times New Roman" w:hAnsi="Times New Roman"/>
                <w:b w:val="0"/>
                <w:i w:val="0"/>
                <w:sz w:val="20"/>
              </w:rPr>
              <w:t>mV</w:t>
            </w:r>
          </w:p>
        </w:tc>
      </w:tr>
      <w:tr>
        <w:tc>
          <w:tcPr>
            <w:tcW w:type="dxa" w:w="2016"/>
          </w:tcPr>
          <w:p>
            <w:pPr>
              <w:spacing w:before="40" w:after="40"/>
            </w:pPr>
            <w:r>
              <w:rPr>
                <w:rFonts w:ascii="Times New Roman" w:hAnsi="Times New Roman"/>
                <w:b w:val="0"/>
                <w:i w:val="0"/>
                <w:sz w:val="20"/>
              </w:rPr>
              <w:t>Peak amplitude</w:t>
            </w:r>
          </w:p>
        </w:tc>
        <w:tc>
          <w:tcPr>
            <w:tcW w:type="dxa" w:w="1728"/>
          </w:tcPr>
          <w:p>
            <w:pPr>
              <w:spacing w:before="40" w:after="40"/>
            </w:pPr>
            <w:r>
              <w:rPr>
                <w:rFonts w:ascii="Times New Roman" w:hAnsi="Times New Roman"/>
                <w:b w:val="0"/>
                <w:i w:val="0"/>
                <w:sz w:val="20"/>
              </w:rPr>
              <w:t>peak_amp</w:t>
            </w:r>
          </w:p>
        </w:tc>
        <w:tc>
          <w:tcPr>
            <w:tcW w:type="dxa" w:w="5040"/>
          </w:tcPr>
          <w:p>
            <w:pPr>
              <w:spacing w:before="40" w:after="40"/>
            </w:pPr>
            <w:r>
              <w:rPr>
                <w:rFonts w:ascii="Times New Roman" w:hAnsi="Times New Roman"/>
                <w:b w:val="0"/>
                <w:i w:val="0"/>
                <w:sz w:val="20"/>
              </w:rPr>
              <w:t>Maximum voltage of the spike waveform</w:t>
            </w:r>
          </w:p>
        </w:tc>
        <w:tc>
          <w:tcPr>
            <w:tcW w:type="dxa" w:w="1008"/>
          </w:tcPr>
          <w:p>
            <w:pPr>
              <w:spacing w:before="40" w:after="40"/>
            </w:pPr>
            <w:r>
              <w:rPr>
                <w:rFonts w:ascii="Times New Roman" w:hAnsi="Times New Roman"/>
                <w:b w:val="0"/>
                <w:i w:val="0"/>
                <w:sz w:val="20"/>
              </w:rPr>
              <w:t>mV</w:t>
            </w:r>
          </w:p>
        </w:tc>
      </w:tr>
      <w:tr>
        <w:tc>
          <w:tcPr>
            <w:tcW w:type="dxa" w:w="2016"/>
          </w:tcPr>
          <w:p>
            <w:pPr>
              <w:spacing w:before="40" w:after="40"/>
            </w:pPr>
            <w:r>
              <w:rPr>
                <w:rFonts w:ascii="Times New Roman" w:hAnsi="Times New Roman"/>
                <w:b w:val="0"/>
                <w:i w:val="0"/>
                <w:sz w:val="20"/>
              </w:rPr>
              <w:t>Peak width</w:t>
            </w:r>
          </w:p>
        </w:tc>
        <w:tc>
          <w:tcPr>
            <w:tcW w:type="dxa" w:w="1728"/>
          </w:tcPr>
          <w:p>
            <w:pPr>
              <w:spacing w:before="40" w:after="40"/>
            </w:pPr>
            <w:r>
              <w:rPr>
                <w:rFonts w:ascii="Times New Roman" w:hAnsi="Times New Roman"/>
                <w:b w:val="0"/>
                <w:i w:val="0"/>
                <w:sz w:val="20"/>
              </w:rPr>
              <w:t>peak_width</w:t>
            </w:r>
          </w:p>
        </w:tc>
        <w:tc>
          <w:tcPr>
            <w:tcW w:type="dxa" w:w="5040"/>
          </w:tcPr>
          <w:p>
            <w:pPr>
              <w:spacing w:before="40" w:after="40"/>
            </w:pPr>
            <w:r>
              <w:rPr>
                <w:rFonts w:ascii="Times New Roman" w:hAnsi="Times New Roman"/>
                <w:b w:val="0"/>
                <w:i w:val="0"/>
                <w:sz w:val="20"/>
              </w:rPr>
              <w:t>Duration of the peak defined as the time between the rise half-amplitude midpoint and the decay half-amplitude midpoint</w:t>
            </w:r>
          </w:p>
        </w:tc>
        <w:tc>
          <w:tcPr>
            <w:tcW w:type="dxa" w:w="1008"/>
          </w:tcPr>
          <w:p>
            <w:pPr>
              <w:spacing w:before="40" w:after="40"/>
            </w:pPr>
            <w:r>
              <w:rPr>
                <w:rFonts w:ascii="Times New Roman" w:hAnsi="Times New Roman"/>
                <w:b w:val="0"/>
                <w:i w:val="0"/>
                <w:sz w:val="20"/>
              </w:rPr>
              <w:t>ms</w:t>
            </w:r>
          </w:p>
        </w:tc>
      </w:tr>
      <w:tr>
        <w:tc>
          <w:tcPr>
            <w:tcW w:type="dxa" w:w="2016"/>
          </w:tcPr>
          <w:p>
            <w:pPr>
              <w:spacing w:before="40" w:after="40"/>
            </w:pPr>
            <w:r>
              <w:rPr>
                <w:rFonts w:ascii="Times New Roman" w:hAnsi="Times New Roman"/>
                <w:b w:val="0"/>
                <w:i w:val="0"/>
                <w:sz w:val="20"/>
              </w:rPr>
              <w:t>Peak sharpness</w:t>
            </w:r>
          </w:p>
        </w:tc>
        <w:tc>
          <w:tcPr>
            <w:tcW w:type="dxa" w:w="1728"/>
          </w:tcPr>
          <w:p>
            <w:pPr>
              <w:spacing w:before="40" w:after="40"/>
            </w:pPr>
            <w:r>
              <w:rPr>
                <w:rFonts w:ascii="Times New Roman" w:hAnsi="Times New Roman"/>
                <w:b w:val="0"/>
                <w:i w:val="0"/>
                <w:sz w:val="20"/>
              </w:rPr>
              <w:t>peak_sharpness</w:t>
            </w:r>
          </w:p>
        </w:tc>
        <w:tc>
          <w:tcPr>
            <w:tcW w:type="dxa" w:w="5040"/>
          </w:tcPr>
          <w:p>
            <w:pPr>
              <w:spacing w:before="40" w:after="40"/>
            </w:pPr>
            <w:r>
              <w:rPr>
                <w:rFonts w:ascii="Times New Roman" w:hAnsi="Times New Roman"/>
                <w:b w:val="0"/>
                <w:i w:val="0"/>
                <w:sz w:val="20"/>
              </w:rPr>
              <w:t>Mean voltage drop at +/-0.1 ms around the peak: average of (peak voltage - voltage at -0.1 ms) and (peak voltage - voltage at +0.1 ms)</w:t>
            </w:r>
          </w:p>
        </w:tc>
        <w:tc>
          <w:tcPr>
            <w:tcW w:type="dxa" w:w="1008"/>
          </w:tcPr>
          <w:p>
            <w:pPr>
              <w:spacing w:before="40" w:after="40"/>
            </w:pPr>
            <w:r>
              <w:rPr>
                <w:rFonts w:ascii="Times New Roman" w:hAnsi="Times New Roman"/>
                <w:b w:val="0"/>
                <w:i w:val="0"/>
                <w:sz w:val="20"/>
              </w:rPr>
              <w:t>mV</w:t>
            </w:r>
          </w:p>
        </w:tc>
      </w:tr>
      <w:tr>
        <w:tc>
          <w:tcPr>
            <w:tcW w:type="dxa" w:w="2016"/>
          </w:tcPr>
          <w:p>
            <w:pPr>
              <w:spacing w:before="40" w:after="40"/>
            </w:pPr>
            <w:r>
              <w:rPr>
                <w:rFonts w:ascii="Times New Roman" w:hAnsi="Times New Roman"/>
                <w:b w:val="0"/>
                <w:i w:val="0"/>
                <w:sz w:val="20"/>
              </w:rPr>
              <w:t>Exponential amplitude</w:t>
            </w:r>
          </w:p>
        </w:tc>
        <w:tc>
          <w:tcPr>
            <w:tcW w:type="dxa" w:w="1728"/>
          </w:tcPr>
          <w:p>
            <w:pPr>
              <w:spacing w:before="40" w:after="40"/>
            </w:pPr>
            <w:r>
              <w:rPr>
                <w:rFonts w:ascii="Times New Roman" w:hAnsi="Times New Roman"/>
                <w:b w:val="0"/>
                <w:i w:val="0"/>
                <w:sz w:val="20"/>
              </w:rPr>
              <w:t>exp_amp</w:t>
            </w:r>
          </w:p>
        </w:tc>
        <w:tc>
          <w:tcPr>
            <w:tcW w:type="dxa" w:w="5040"/>
          </w:tcPr>
          <w:p>
            <w:pPr>
              <w:spacing w:before="40" w:after="40"/>
            </w:pPr>
            <w:r>
              <w:rPr>
                <w:rFonts w:ascii="Times New Roman" w:hAnsi="Times New Roman"/>
                <w:b w:val="0"/>
                <w:i w:val="0"/>
                <w:sz w:val="20"/>
              </w:rPr>
              <w:t>Amplitude parameter of a three-parameter exponential decay fit to the repolarization phase</w:t>
            </w:r>
          </w:p>
        </w:tc>
        <w:tc>
          <w:tcPr>
            <w:tcW w:type="dxa" w:w="1008"/>
          </w:tcPr>
          <w:p>
            <w:pPr>
              <w:spacing w:before="40" w:after="40"/>
            </w:pPr>
            <w:r>
              <w:rPr>
                <w:rFonts w:ascii="Times New Roman" w:hAnsi="Times New Roman"/>
                <w:b w:val="0"/>
                <w:i w:val="0"/>
                <w:sz w:val="20"/>
              </w:rPr>
              <w:t>mV</w:t>
            </w:r>
          </w:p>
        </w:tc>
      </w:tr>
      <w:tr>
        <w:tc>
          <w:tcPr>
            <w:tcW w:type="dxa" w:w="2016"/>
          </w:tcPr>
          <w:p>
            <w:pPr>
              <w:spacing w:before="40" w:after="40"/>
            </w:pPr>
            <w:r>
              <w:rPr>
                <w:rFonts w:ascii="Times New Roman" w:hAnsi="Times New Roman"/>
                <w:b w:val="0"/>
                <w:i w:val="0"/>
                <w:sz w:val="20"/>
              </w:rPr>
              <w:t>Exponential decay rate</w:t>
            </w:r>
          </w:p>
        </w:tc>
        <w:tc>
          <w:tcPr>
            <w:tcW w:type="dxa" w:w="1728"/>
          </w:tcPr>
          <w:p>
            <w:pPr>
              <w:spacing w:before="40" w:after="40"/>
            </w:pPr>
            <w:r>
              <w:rPr>
                <w:rFonts w:ascii="Times New Roman" w:hAnsi="Times New Roman"/>
                <w:b w:val="0"/>
                <w:i w:val="0"/>
                <w:sz w:val="20"/>
              </w:rPr>
              <w:t>exp_lambda</w:t>
            </w:r>
          </w:p>
        </w:tc>
        <w:tc>
          <w:tcPr>
            <w:tcW w:type="dxa" w:w="5040"/>
          </w:tcPr>
          <w:p>
            <w:pPr>
              <w:spacing w:before="40" w:after="40"/>
            </w:pPr>
            <w:r>
              <w:rPr>
                <w:rFonts w:ascii="Times New Roman" w:hAnsi="Times New Roman"/>
                <w:b w:val="0"/>
                <w:i w:val="0"/>
                <w:sz w:val="20"/>
              </w:rPr>
              <w:t>Decay constant of the exponential fit, reflecting rate of repolarization</w:t>
            </w:r>
          </w:p>
        </w:tc>
        <w:tc>
          <w:tcPr>
            <w:tcW w:type="dxa" w:w="1008"/>
          </w:tcPr>
          <w:p>
            <w:pPr>
              <w:spacing w:before="40" w:after="40"/>
            </w:pPr>
            <w:r>
              <w:rPr>
                <w:rFonts w:ascii="Times New Roman" w:hAnsi="Times New Roman"/>
                <w:b w:val="0"/>
                <w:i w:val="0"/>
                <w:sz w:val="20"/>
              </w:rPr>
              <w:t>1/ms</w:t>
            </w:r>
          </w:p>
        </w:tc>
      </w:tr>
      <w:tr>
        <w:tc>
          <w:tcPr>
            <w:tcW w:type="dxa" w:w="2016"/>
          </w:tcPr>
          <w:p>
            <w:pPr>
              <w:spacing w:before="40" w:after="40"/>
            </w:pPr>
            <w:r>
              <w:rPr>
                <w:rFonts w:ascii="Times New Roman" w:hAnsi="Times New Roman"/>
                <w:b w:val="0"/>
                <w:i w:val="0"/>
                <w:sz w:val="20"/>
              </w:rPr>
              <w:t>Exponential constant</w:t>
            </w:r>
          </w:p>
        </w:tc>
        <w:tc>
          <w:tcPr>
            <w:tcW w:type="dxa" w:w="1728"/>
          </w:tcPr>
          <w:p>
            <w:pPr>
              <w:spacing w:before="40" w:after="40"/>
            </w:pPr>
            <w:r>
              <w:rPr>
                <w:rFonts w:ascii="Times New Roman" w:hAnsi="Times New Roman"/>
                <w:b w:val="0"/>
                <w:i w:val="0"/>
                <w:sz w:val="20"/>
              </w:rPr>
              <w:t>exp_const</w:t>
            </w:r>
          </w:p>
        </w:tc>
        <w:tc>
          <w:tcPr>
            <w:tcW w:type="dxa" w:w="5040"/>
          </w:tcPr>
          <w:p>
            <w:pPr>
              <w:spacing w:before="40" w:after="40"/>
            </w:pPr>
            <w:r>
              <w:rPr>
                <w:rFonts w:ascii="Times New Roman" w:hAnsi="Times New Roman"/>
                <w:b w:val="0"/>
                <w:i w:val="0"/>
                <w:sz w:val="20"/>
              </w:rPr>
              <w:t>Asymptotic resting membrane potential estimated by the exponential fit</w:t>
            </w:r>
          </w:p>
        </w:tc>
        <w:tc>
          <w:tcPr>
            <w:tcW w:type="dxa" w:w="1008"/>
          </w:tcPr>
          <w:p>
            <w:pPr>
              <w:spacing w:before="40" w:after="40"/>
            </w:pPr>
            <w:r>
              <w:rPr>
                <w:rFonts w:ascii="Times New Roman" w:hAnsi="Times New Roman"/>
                <w:b w:val="0"/>
                <w:i w:val="0"/>
                <w:sz w:val="20"/>
              </w:rPr>
              <w:t>mV</w:t>
            </w:r>
          </w:p>
        </w:tc>
      </w:tr>
    </w:tbl>
    <w:p/>
    <w:p>
      <w:pPr>
        <w:spacing w:before="0" w:after="160" w:line="440" w:lineRule="exact"/>
      </w:pPr>
      <w:r>
        <w:rPr>
          <w:rFonts w:ascii="Times New Roman" w:hAnsi="Times New Roman"/>
          <w:b w:val="0"/>
          <w:i w:val="0"/>
          <w:sz w:val="22"/>
        </w:rPr>
        <w:t>The exponential decay was fit using a three-parameter model of the form V(t) = A * exp(-lambda * t) + C, where A is the amplitude, lambda is the decay rate, and C is the resting constant. Initial parameter guesses were A = 50, lambda = 1, C = -60, with bounds A in [0, 1000], lambda in [0, 10], C in [-100, 50]. Fitting was performed using scipy.optimize.curve_fit with a maximum of 10,000 function evaluations. Goodness of fit was assessed using R^2 values for both the linear ramp fit and the exponential decay fit.</w:t>
      </w:r>
    </w:p>
    <w:p>
      <w:pPr>
        <w:keepNext/>
        <w:spacing w:before="160" w:after="40"/>
      </w:pPr>
      <w:r>
        <w:rPr>
          <w:rFonts w:ascii="Times New Roman" w:hAnsi="Times New Roman"/>
          <w:b w:val="0"/>
          <w:i/>
          <w:sz w:val="22"/>
        </w:rPr>
        <w:t>Inter-spike features</w:t>
      </w:r>
    </w:p>
    <w:p>
      <w:pPr>
        <w:spacing w:before="0" w:after="160" w:line="440" w:lineRule="exact"/>
      </w:pPr>
      <w:r>
        <w:rPr>
          <w:rFonts w:ascii="Times New Roman" w:hAnsi="Times New Roman"/>
          <w:b w:val="0"/>
          <w:i w:val="0"/>
          <w:sz w:val="22"/>
        </w:rPr>
        <w:t>Inter-spike interval (ISI): time elapsed from each spike to the subsequent spike, in ms, computed from spike sample indices and the per-cell sampling rate. The last spike per recording segment was assigned a NaN ISI. For modeling and correlation analyses, the log-transformed ISI (log_ISI) was used to reduce the skew of the distribution.</w:t>
      </w:r>
    </w:p>
    <w:p>
      <w:pPr>
        <w:keepNext/>
        <w:spacing w:before="280" w:after="80"/>
      </w:pPr>
      <w:r>
        <w:rPr>
          <w:rFonts w:ascii="Times New Roman" w:hAnsi="Times New Roman"/>
          <w:b/>
          <w:i w:val="0"/>
          <w:sz w:val="26"/>
        </w:rPr>
        <w:t>S5. Power Spectral Density Estimation</w:t>
      </w:r>
    </w:p>
    <w:p>
      <w:pPr>
        <w:spacing w:before="0" w:after="160" w:line="440" w:lineRule="exact"/>
      </w:pPr>
      <w:r>
        <w:rPr>
          <w:rFonts w:ascii="Times New Roman" w:hAnsi="Times New Roman"/>
          <w:b w:val="0"/>
          <w:i w:val="0"/>
          <w:sz w:val="22"/>
        </w:rPr>
        <w:t>For the pvc-6 dataset, pre-spike current statistics were quantified from a 5 ms window immediately preceding each spike. The mean and standard deviation of the current waveform in this window were used as stimulus amplitude and variability features, respectively. The spectral exponent of the pink noise current was estimated via spectral parameterization (see Section S6) applied to the pre-spike window.</w:t>
      </w:r>
    </w:p>
    <w:p>
      <w:pPr>
        <w:spacing w:before="0" w:after="160" w:line="440" w:lineRule="exact"/>
      </w:pPr>
      <w:r>
        <w:rPr>
          <w:rFonts w:ascii="Times New Roman" w:hAnsi="Times New Roman"/>
          <w:b w:val="0"/>
          <w:i w:val="0"/>
          <w:sz w:val="22"/>
        </w:rPr>
        <w:t>For population-level LFP spectra, power spectral density (PSD) estimates were computed using Welch's method (Welch, 1967) with 1.0 s Hamming windows and 0.5 s overlap, using neurodsp.spectral.compute_spectrum (Cole et al., 2019).</w:t>
      </w:r>
    </w:p>
    <w:p>
      <w:pPr>
        <w:spacing w:before="0" w:after="160" w:line="440" w:lineRule="exact"/>
      </w:pPr>
      <w:r>
        <w:rPr>
          <w:rFonts w:ascii="Times New Roman" w:hAnsi="Times New Roman"/>
          <w:b w:val="0"/>
          <w:i w:val="0"/>
          <w:sz w:val="22"/>
        </w:rPr>
        <w:t>For time-resolved (sliding window) LFP analyses in the spe-1 dataset, PSDs were estimated using the multitaper method, which balances the bias-variance tradeoff for short-duration signals (Babadi &amp; Brown, 2014). Multitaper spectrograms were computed using mne.time_frequency.tfr_array_multitaper with a frequency range of 1-90 Hz (256 linearly spaced frequencies), a time-bandwidth product of 2.0 (yielding approximately 3 tapers), and window durations of 100 ms with 10 ms steps.</w:t>
      </w:r>
    </w:p>
    <w:p>
      <w:pPr>
        <w:keepNext/>
        <w:spacing w:before="280" w:after="80"/>
      </w:pPr>
      <w:r>
        <w:rPr>
          <w:rFonts w:ascii="Times New Roman" w:hAnsi="Times New Roman"/>
          <w:b/>
          <w:i w:val="0"/>
          <w:sz w:val="26"/>
        </w:rPr>
        <w:t>S6. Spectral Parameterization (specparam / fooof)</w:t>
      </w:r>
    </w:p>
    <w:p>
      <w:pPr>
        <w:spacing w:before="0" w:after="160" w:line="440" w:lineRule="exact"/>
      </w:pPr>
      <w:r>
        <w:rPr>
          <w:rFonts w:ascii="Times New Roman" w:hAnsi="Times New Roman"/>
          <w:b w:val="0"/>
          <w:i w:val="0"/>
          <w:sz w:val="22"/>
        </w:rPr>
        <w:t>We applied spectral parameterization using the specparam toolbox (formerly fooof; Donoghue et al., 2020; Haller et al., 2018) to extract periodic and aperiodic components from power spectra. Briefly, log-power spectra were decomposed into a summation of narrowband periodic components - modeled as Gaussians - and an aperiodic component - modeled as a generalized Lorentzian function centered at 0 Hz. The aperiodic exponent (slope of the 1/f component) and aperiodic offset were extracted from each fit, along with periodic peak features (center frequency, power, and bandwidth). Model goodness-of-fit was assessed using R^2 of the fit to the log-power spectrum.</w:t>
      </w:r>
    </w:p>
    <w:p>
      <w:pPr>
        <w:spacing w:before="0" w:after="160" w:line="440" w:lineRule="exact"/>
      </w:pPr>
      <w:r>
        <w:rPr>
          <w:rFonts w:ascii="Times New Roman" w:hAnsi="Times New Roman"/>
          <w:b w:val="0"/>
          <w:i w:val="0"/>
          <w:sz w:val="22"/>
        </w:rPr>
        <w:t>For the peri-spike sliding window analysis, a SpectralTimeModel was fit across all time bins simultaneously. The following spectral features were extracted per window: aperiodic exponent, aperiodic offset, gamma power (area under the curve, AUC, in the 30-80 Hz band), theta power (AUC in the 4-8 Hz band), and model R^2. Features with consistently poor model fit (R^2 &lt; 0.8) were excluded from analysis. Aperiodic offset and LFP spectral exponent showed 0% coupling yield across all analyses and were excluded from further reporting.</w:t>
      </w:r>
    </w:p>
    <w:p>
      <w:pPr>
        <w:keepNext/>
        <w:spacing w:before="280" w:after="80"/>
      </w:pPr>
      <w:r>
        <w:rPr>
          <w:rFonts w:ascii="Times New Roman" w:hAnsi="Times New Roman"/>
          <w:b/>
          <w:i w:val="0"/>
          <w:sz w:val="26"/>
        </w:rPr>
        <w:t>S7. Spike Waveform Clustering (spe-1)</w:t>
      </w:r>
    </w:p>
    <w:p>
      <w:pPr>
        <w:spacing w:before="0" w:after="160" w:line="440" w:lineRule="exact"/>
      </w:pPr>
      <w:r>
        <w:rPr>
          <w:rFonts w:ascii="Times New Roman" w:hAnsi="Times New Roman"/>
          <w:b w:val="0"/>
          <w:i w:val="0"/>
          <w:sz w:val="22"/>
        </w:rPr>
        <w:t>For each cell in the spe-1 dataset, action potentials were clustered independently by each waveform feature using k-means clustering (k = 3), implemented in scikit-learn (sklearn.cluster.KMeans), into Low, Mid, and High groups. Clustering was performed on the scalar feature values (one value per spike), not on the waveform traces directly. The choice of k = 3 was motivated by the goal of capturing low, intermediate, and high expression of each feature within a cell while remaining interpretable.</w:t>
      </w:r>
    </w:p>
    <w:p>
      <w:pPr>
        <w:keepNext/>
        <w:spacing w:before="160" w:after="40"/>
      </w:pPr>
      <w:r>
        <w:rPr>
          <w:rFonts w:ascii="Times New Roman" w:hAnsi="Times New Roman"/>
          <w:b w:val="0"/>
          <w:i/>
          <w:sz w:val="22"/>
        </w:rPr>
        <w:t>Cluster quality metrics</w:t>
      </w:r>
    </w:p>
    <w:p>
      <w:pPr>
        <w:spacing w:before="0" w:after="160" w:line="440" w:lineRule="exact"/>
      </w:pPr>
      <w:r>
        <w:rPr>
          <w:rFonts w:ascii="Times New Roman" w:hAnsi="Times New Roman"/>
          <w:b w:val="0"/>
          <w:i w:val="0"/>
          <w:sz w:val="22"/>
        </w:rPr>
        <w:t>Cluster quality was assessed using two complementary metrics:</w:t>
      </w:r>
    </w:p>
    <w:p>
      <w:pPr>
        <w:spacing w:before="0" w:after="160" w:line="440" w:lineRule="exact"/>
      </w:pPr>
      <w:r>
        <w:rPr>
          <w:rFonts w:ascii="Times New Roman" w:hAnsi="Times New Roman"/>
          <w:b w:val="0"/>
          <w:i w:val="0"/>
          <w:sz w:val="22"/>
        </w:rPr>
        <w:t>Normalized root mean squared error (nRMSE): the mean Euclidean distance between the average waveform of each cluster and the grand mean waveform, normalized by the peak-to-trough amplitude of the grand mean waveform. Higher nRMSE indicates greater amplitude differences between cluster mean waveforms. nRMSE = (1/k) * sum_k [RMSE(cluster_k_mean, grand_mean)] / amplitude.</w:t>
      </w:r>
    </w:p>
    <w:p>
      <w:pPr>
        <w:spacing w:before="0" w:after="160" w:line="440" w:lineRule="exact"/>
      </w:pPr>
      <w:r>
        <w:rPr>
          <w:rFonts w:ascii="Times New Roman" w:hAnsi="Times New Roman"/>
          <w:b w:val="0"/>
          <w:i w:val="0"/>
          <w:sz w:val="22"/>
        </w:rPr>
        <w:t>Cosine similarity (cos_sim): cosine similarity between cluster mean waveforms, computed for each pair of cluster means and averaged across pairs. Values near 1.0 indicate that cluster mean waveforms have very similar shapes; lower values indicate morphological divergence.</w:t>
      </w:r>
    </w:p>
    <w:p>
      <w:pPr>
        <w:spacing w:before="0" w:after="160" w:line="440" w:lineRule="exact"/>
      </w:pPr>
      <w:r>
        <w:rPr>
          <w:rFonts w:ascii="Times New Roman" w:hAnsi="Times New Roman"/>
          <w:b w:val="0"/>
          <w:i w:val="0"/>
          <w:sz w:val="22"/>
        </w:rPr>
        <w:t>Together, nRMSE and cos_sim capture distinct aspects of cluster separability: nRMSE is sensitive to amplitude differences between cluster means, while cos_sim captures shape differences. A feature-cell pair showing high nRMSE and low cos_sim indicates clusters that are both amplitude-different and shape-different - the most morphologically meaningful case.</w:t>
      </w:r>
    </w:p>
    <w:p>
      <w:pPr>
        <w:keepNext/>
        <w:spacing w:before="160" w:after="40"/>
      </w:pPr>
      <w:r>
        <w:rPr>
          <w:rFonts w:ascii="Times New Roman" w:hAnsi="Times New Roman"/>
          <w:b w:val="0"/>
          <w:i/>
          <w:sz w:val="22"/>
        </w:rPr>
        <w:t>Temporal drift analysis</w:t>
      </w:r>
    </w:p>
    <w:p>
      <w:pPr>
        <w:spacing w:before="0" w:after="160" w:line="440" w:lineRule="exact"/>
      </w:pPr>
      <w:r>
        <w:rPr>
          <w:rFonts w:ascii="Times New Roman" w:hAnsi="Times New Roman"/>
          <w:b w:val="0"/>
          <w:i w:val="0"/>
          <w:sz w:val="22"/>
        </w:rPr>
        <w:t>To assess whether waveform cluster membership was confounded by time-dependent recording artifacts (e.g., progressive electrode seal degradation), we computed the Spearman rank correlation between cluster label (Low = 0, Mid = 1, High = 2) and spike time (sample index within the recording) for each cell-feature pair. A significant positive rho indicates that cluster assignment drifted toward higher values over time; negative rho indicates drift toward lower values. Statistical significance was assessed using the scipy.stats.spearmanr function (p &lt; 0.05, uncorrected). Crucially, we then tested whether drift magnitude (|rho|) predicted cluster quality (nRMSE, cos_sim) using Spearman correlation across all cell-feature pairs; neither association reached significance after BH-FDR correction.</w:t>
      </w:r>
    </w:p>
    <w:p>
      <w:pPr>
        <w:keepNext/>
        <w:spacing w:before="160" w:after="40"/>
      </w:pPr>
      <w:r>
        <w:rPr>
          <w:rFonts w:ascii="Times New Roman" w:hAnsi="Times New Roman"/>
          <w:b w:val="0"/>
          <w:i/>
          <w:sz w:val="22"/>
        </w:rPr>
        <w:t>Metadata association analysis</w:t>
      </w:r>
    </w:p>
    <w:p>
      <w:pPr>
        <w:spacing w:before="0" w:after="160" w:line="440" w:lineRule="exact"/>
      </w:pPr>
      <w:r>
        <w:rPr>
          <w:rFonts w:ascii="Times New Roman" w:hAnsi="Times New Roman"/>
          <w:b w:val="0"/>
          <w:i w:val="0"/>
          <w:sz w:val="22"/>
        </w:rPr>
        <w:t>We tested whether cluster quality metrics (nRMSE, cos_sim) were predicted by available cell metadata: cell type (PC vs. IN), recording modality (current-clamp vs. other), dark neuron status, EAP waveform visibility (clear vs. unclear), and cortical depth. Associations were assessed using Spearman correlation (continuous metadata) or Mann-Whitney U test (binary metadata), with BH-FDR correction applied across all tests within each metric. Only EAP waveform visibility reached significance after FDR correction (clear_EAP_waveform x cos_sim: rho = -0.381, p_fdr &lt; 0.05), with cells having a visible extracellular AP showing more morphologically distinct clusters.</w:t>
      </w:r>
    </w:p>
    <w:p>
      <w:pPr>
        <w:keepNext/>
        <w:spacing w:before="280" w:after="80"/>
      </w:pPr>
      <w:r>
        <w:rPr>
          <w:rFonts w:ascii="Times New Roman" w:hAnsi="Times New Roman"/>
          <w:b/>
          <w:i w:val="0"/>
          <w:sz w:val="26"/>
        </w:rPr>
        <w:t>S8. Peri-spike LFP Sliding Window Analysis (spe-1)</w:t>
      </w:r>
    </w:p>
    <w:p>
      <w:pPr>
        <w:spacing w:before="0" w:after="160" w:line="440" w:lineRule="exact"/>
      </w:pPr>
      <w:r>
        <w:rPr>
          <w:rFonts w:ascii="Times New Roman" w:hAnsi="Times New Roman"/>
          <w:b w:val="0"/>
          <w:i w:val="0"/>
          <w:sz w:val="22"/>
        </w:rPr>
        <w:t>To examine the relationship between spike waveform cluster membership and local network state as reflected in the LFP, we performed a peri-spike sliding window analysis. For each spike, a +/-500 ms LFP window was extracted from the Neuropixels LFP channel corresponding to each neuron. This window was divided into overlapping 100 ms sub-windows with 10 ms steps (yielding approximately 91 time bins per spike).</w:t>
      </w:r>
    </w:p>
    <w:p>
      <w:pPr>
        <w:keepNext/>
        <w:spacing w:before="160" w:after="40"/>
      </w:pPr>
      <w:r>
        <w:rPr>
          <w:rFonts w:ascii="Times New Roman" w:hAnsi="Times New Roman"/>
          <w:b w:val="0"/>
          <w:i/>
          <w:sz w:val="22"/>
        </w:rPr>
        <w:t>LFP features computed per window</w:t>
      </w:r>
    </w:p>
    <w:p>
      <w:pPr>
        <w:spacing w:before="0" w:after="160" w:line="440" w:lineRule="exact"/>
      </w:pPr>
      <w:r>
        <w:rPr>
          <w:rFonts w:ascii="Times New Roman" w:hAnsi="Times New Roman"/>
          <w:b w:val="0"/>
          <w:i w:val="0"/>
          <w:sz w:val="22"/>
        </w:rPr>
        <w:t>For each sub-window, the following LFP features were computed: mean amplitude (mean voltage across the window); aperiodic exponent (from specparam fit); gamma AUC (area under the power spectrum in 30-80 Hz, from specparam periodic component); theta AUC (area under the power spectrum in 4-8 Hz); and model R^2 (goodness-of-fit of the specparam model). Three additional features were computed but showed 0% coupling yield and were excluded from all results: aperiodic offset, LFP standard deviation, and LFP spectral exponent.</w:t>
      </w:r>
    </w:p>
    <w:p>
      <w:pPr>
        <w:keepNext/>
        <w:spacing w:before="160" w:after="40"/>
      </w:pPr>
      <w:r>
        <w:rPr>
          <w:rFonts w:ascii="Times New Roman" w:hAnsi="Times New Roman"/>
          <w:b w:val="0"/>
          <w:i/>
          <w:sz w:val="22"/>
        </w:rPr>
        <w:t>Statistical testing</w:t>
      </w:r>
    </w:p>
    <w:p>
      <w:pPr>
        <w:spacing w:before="0" w:after="160" w:line="440" w:lineRule="exact"/>
      </w:pPr>
      <w:r>
        <w:rPr>
          <w:rFonts w:ascii="Times New Roman" w:hAnsi="Times New Roman"/>
          <w:b w:val="0"/>
          <w:i w:val="0"/>
          <w:sz w:val="22"/>
        </w:rPr>
        <w:t>For each LFP feature, each time window, and each spike waveform feature, we tested whether the distribution of LFP feature values differed significantly across spike waveform cluster groups (Low, Mid, High) using the Kruskal-Wallis non-parametric test (scipy.stats.kruskal). Multiple comparisons across time windows were corrected using the Benjamini-Hochberg false discovery rate (FDR) procedure (scipy.stats.false_discovery_control). Effect sizes were quantified using Cohen's d computed with pooled standard deviation.</w:t>
      </w:r>
    </w:p>
    <w:p>
      <w:pPr>
        <w:spacing w:before="0" w:after="160" w:line="440" w:lineRule="exact"/>
      </w:pPr>
      <w:r>
        <w:rPr>
          <w:rFonts w:ascii="Times New Roman" w:hAnsi="Times New Roman"/>
          <w:b w:val="0"/>
          <w:i w:val="0"/>
          <w:sz w:val="22"/>
        </w:rPr>
        <w:t>A cell-feature pair was considered to show significant LFP coupling if at least one time window passed FDR correction. Coupling yield was computed as the proportion of cells showing at least one significant window, reported separately for priority cells (n = 7) and non-priority cells.</w:t>
      </w:r>
    </w:p>
    <w:p>
      <w:pPr>
        <w:keepNext/>
        <w:spacing w:before="160" w:after="40"/>
      </w:pPr>
      <w:r>
        <w:rPr>
          <w:rFonts w:ascii="Times New Roman" w:hAnsi="Times New Roman"/>
          <w:b w:val="0"/>
          <w:i/>
          <w:sz w:val="22"/>
        </w:rPr>
        <w:t>Effect direction and timing</w:t>
      </w:r>
    </w:p>
    <w:p>
      <w:pPr>
        <w:spacing w:before="0" w:after="160" w:line="440" w:lineRule="exact"/>
      </w:pPr>
      <w:r>
        <w:rPr>
          <w:rFonts w:ascii="Times New Roman" w:hAnsi="Times New Roman"/>
          <w:b w:val="0"/>
          <w:i w:val="0"/>
          <w:sz w:val="22"/>
        </w:rPr>
        <w:t>The direction of the effect was defined as the sign of the difference in LFP feature mean between the High and Low cluster groups in significant windows: positive values indicate that spikes with high waveform feature values occurred during higher LFP values. The timing of the peak effect was categorized as pre-spike (peak Cohen's d window center &lt; -50 ms), peri-spike (+/-50 ms), or post-spike (&gt; +50 ms). Across all LFP features and spike features, effects were predominantly peri-spike, with the temporal density of significant windows concentrated around t = 0.</w:t>
      </w:r>
    </w:p>
    <w:p>
      <w:pPr>
        <w:keepNext/>
        <w:spacing w:before="160" w:after="40"/>
      </w:pPr>
      <w:r>
        <w:rPr>
          <w:rFonts w:ascii="Times New Roman" w:hAnsi="Times New Roman"/>
          <w:b w:val="0"/>
          <w:i/>
          <w:sz w:val="22"/>
        </w:rPr>
        <w:t>Grand average peri-spike LFP traces</w:t>
      </w:r>
    </w:p>
    <w:p>
      <w:pPr>
        <w:spacing w:before="0" w:after="160" w:line="440" w:lineRule="exact"/>
      </w:pPr>
      <w:r>
        <w:rPr>
          <w:rFonts w:ascii="Times New Roman" w:hAnsi="Times New Roman"/>
          <w:b w:val="0"/>
          <w:i w:val="0"/>
          <w:sz w:val="22"/>
        </w:rPr>
        <w:t>For visualization, grand average peri-spike LFP traces were computed by aligning LFP windows to each spike and averaging within cluster group (Low vs. High), then averaging across cells. LFP traces were z-scored within each cell prior to averaging to remove between-cell amplitude differences. Shaded bands represent +/-1 standard error of the mean across cells.</w:t>
      </w:r>
    </w:p>
    <w:p>
      <w:pPr>
        <w:keepNext/>
        <w:spacing w:before="280" w:after="80"/>
      </w:pPr>
      <w:r>
        <w:rPr>
          <w:rFonts w:ascii="Times New Roman" w:hAnsi="Times New Roman"/>
          <w:b/>
          <w:i w:val="0"/>
          <w:sz w:val="26"/>
        </w:rPr>
        <w:t>S9. Pre- and Post-spike LFP Analysis (spe-1)</w:t>
      </w:r>
    </w:p>
    <w:p>
      <w:pPr>
        <w:spacing w:before="0" w:after="160" w:line="440" w:lineRule="exact"/>
      </w:pPr>
      <w:r>
        <w:rPr>
          <w:rFonts w:ascii="Times New Roman" w:hAnsi="Times New Roman"/>
          <w:b w:val="0"/>
          <w:i w:val="0"/>
          <w:sz w:val="22"/>
        </w:rPr>
        <w:t>As a complement to the sliding window analysis, we examined fixed pre-spike and post-spike LFP windows. The pre-spike window spanned -500 to -50 ms relative to spike peak; the post-spike window spanned +50 to +1000 ms. For each window, the same LFP features were computed as in the sliding window analysis. Group differences across cluster labels were tested using the Kruskal-Wallis test with BH-FDR correction.</w:t>
      </w:r>
    </w:p>
    <w:p>
      <w:pPr>
        <w:spacing w:before="0" w:after="160" w:line="440" w:lineRule="exact"/>
      </w:pPr>
      <w:r>
        <w:rPr>
          <w:rFonts w:ascii="Times New Roman" w:hAnsi="Times New Roman"/>
          <w:b w:val="0"/>
          <w:i w:val="0"/>
          <w:sz w:val="22"/>
        </w:rPr>
        <w:t>The pre-spike LFP state did not reliably differ between cluster groups for any spike waveform feature. The one robust post-spike finding was that log_ISI clusters predicted differences in post-spike aperiodic exponent in approximately 42% of cells (15/36), consistent with ISI history capturing firing rate dynamics that have known consequences for post-spike network state through E/I balance and neuromodulatory rebound mechanisms.</w:t>
      </w:r>
    </w:p>
    <w:p>
      <w:pPr>
        <w:keepNext/>
        <w:spacing w:before="280" w:after="80"/>
      </w:pPr>
      <w:r>
        <w:rPr>
          <w:rFonts w:ascii="Times New Roman" w:hAnsi="Times New Roman"/>
          <w:b/>
          <w:i w:val="0"/>
          <w:sz w:val="26"/>
        </w:rPr>
        <w:t>S10. Metadata Association with LFP Coupling Strength</w:t>
      </w:r>
    </w:p>
    <w:p>
      <w:pPr>
        <w:spacing w:before="0" w:after="160" w:line="440" w:lineRule="exact"/>
      </w:pPr>
      <w:r>
        <w:rPr>
          <w:rFonts w:ascii="Times New Roman" w:hAnsi="Times New Roman"/>
          <w:b w:val="0"/>
          <w:i w:val="0"/>
          <w:sz w:val="22"/>
        </w:rPr>
        <w:t>To test whether any cell-level metadata variable predicted the strength or direction of LFP-spike coupling, we correlated available metadata with Cohen's d values from the peak significant time window for each cell-feature pair. The following metadata variables were tested: cell type (PC vs. IN; binary), recording modality (current-clamp vs. other; binary), dark neuron status (binary), EAP waveform visibility (clear vs. unclear; binary), and cortical depth (continuous). Associations were assessed using Mann-Whitney U tests (binary metadata) or Spearman correlation (continuous metadata), with BH-FDR correction applied across all tests.</w:t>
      </w:r>
    </w:p>
    <w:p>
      <w:pPr>
        <w:spacing w:before="0" w:after="160" w:line="440" w:lineRule="exact"/>
      </w:pPr>
      <w:r>
        <w:rPr>
          <w:rFonts w:ascii="Times New Roman" w:hAnsi="Times New Roman"/>
          <w:b w:val="0"/>
          <w:i w:val="0"/>
          <w:sz w:val="22"/>
        </w:rPr>
        <w:t>Only cell type reached significance after FDR correction. Pyramidal cells showed significantly larger absolute Cohen's d values than interneurons for four of five LFP features: aperiodic exponent (p_fdr = 0.003), model R^2 (p_fdr = 0.006), gamma AUC (p_fdr &lt; 0.001), and LFP mean amplitude (p_fdr = 0.002). Theta AUC was not significant (p_fdr = 0.12-0.17). Recording modality, dark neuron status, EAP visibility, and cortical depth all showed p_fdr &gt; 0.10 for all LFP features. The directionality of effects (sign of Cohen's d) was not explained by any metadata variable (all p_fdr &gt; 0.10).</w:t>
      </w:r>
    </w:p>
    <w:p>
      <w:pPr>
        <w:keepNext/>
        <w:spacing w:before="280" w:after="80"/>
      </w:pPr>
      <w:r>
        <w:rPr>
          <w:rFonts w:ascii="Times New Roman" w:hAnsi="Times New Roman"/>
          <w:b/>
          <w:i w:val="0"/>
          <w:sz w:val="26"/>
        </w:rPr>
        <w:t>S11. Population-level Statistical Validation (spe-1)</w:t>
      </w:r>
    </w:p>
    <w:p>
      <w:pPr>
        <w:spacing w:before="0" w:after="160" w:line="440" w:lineRule="exact"/>
      </w:pPr>
      <w:r>
        <w:rPr>
          <w:rFonts w:ascii="Times New Roman" w:hAnsi="Times New Roman"/>
          <w:b w:val="0"/>
          <w:i w:val="0"/>
          <w:sz w:val="22"/>
        </w:rPr>
        <w:t>To validate that peri-spike LFP effects were consistent across the population and not driven by any single cell, we applied two complementary resampling procedures.</w:t>
      </w:r>
    </w:p>
    <w:p>
      <w:pPr>
        <w:keepNext/>
        <w:spacing w:before="160" w:after="40"/>
      </w:pPr>
      <w:r>
        <w:rPr>
          <w:rFonts w:ascii="Times New Roman" w:hAnsi="Times New Roman"/>
          <w:b w:val="0"/>
          <w:i/>
          <w:sz w:val="22"/>
        </w:rPr>
        <w:t>Bootstrap (cell-level)</w:t>
      </w:r>
    </w:p>
    <w:p>
      <w:pPr>
        <w:spacing w:before="0" w:after="160" w:line="440" w:lineRule="exact"/>
      </w:pPr>
      <w:r>
        <w:rPr>
          <w:rFonts w:ascii="Times New Roman" w:hAnsi="Times New Roman"/>
          <w:b w:val="0"/>
          <w:i w:val="0"/>
          <w:sz w:val="22"/>
        </w:rPr>
        <w:t>Cells were resampled with replacement (n = 1,000 iterations) to generate a bootstrap distribution of the population mean effect size (mean Cohen's d across cells). The 95% confidence interval of the bootstrap distribution was used to assess whether the population mean was reliably nonzero. This procedure assessed whether the observed population effect depended on any single cell.</w:t>
      </w:r>
    </w:p>
    <w:p>
      <w:pPr>
        <w:keepNext/>
        <w:spacing w:before="160" w:after="40"/>
      </w:pPr>
      <w:r>
        <w:rPr>
          <w:rFonts w:ascii="Times New Roman" w:hAnsi="Times New Roman"/>
          <w:b w:val="0"/>
          <w:i/>
          <w:sz w:val="22"/>
        </w:rPr>
        <w:t>Within-cell permutation</w:t>
      </w:r>
    </w:p>
    <w:p>
      <w:pPr>
        <w:spacing w:before="0" w:after="160" w:line="440" w:lineRule="exact"/>
      </w:pPr>
      <w:r>
        <w:rPr>
          <w:rFonts w:ascii="Times New Roman" w:hAnsi="Times New Roman"/>
          <w:b w:val="0"/>
          <w:i w:val="0"/>
          <w:sz w:val="22"/>
        </w:rPr>
        <w:t>For each cell, spike waveform cluster labels were randomly shuffled (n = 500 permutations) and the sliding window analysis was repeated. The proportion of permutations yielding an effect as large as or larger than the observed effect was used as the permutation p-value. This procedure controlled for the possibility that coupling arose from chance alignment of LFP state and cluster assignment within individual cells.</w:t>
      </w:r>
    </w:p>
    <w:p>
      <w:pPr>
        <w:keepNext/>
        <w:spacing w:before="160" w:after="40"/>
      </w:pPr>
      <w:r>
        <w:rPr>
          <w:rFonts w:ascii="Times New Roman" w:hAnsi="Times New Roman"/>
          <w:b w:val="0"/>
          <w:i/>
          <w:sz w:val="22"/>
        </w:rPr>
        <w:t>Binomial yield test</w:t>
      </w:r>
    </w:p>
    <w:p>
      <w:pPr>
        <w:spacing w:before="0" w:after="160" w:line="440" w:lineRule="exact"/>
      </w:pPr>
      <w:r>
        <w:rPr>
          <w:rFonts w:ascii="Times New Roman" w:hAnsi="Times New Roman"/>
          <w:b w:val="0"/>
          <w:i w:val="0"/>
          <w:sz w:val="22"/>
        </w:rPr>
        <w:t>A binomial test was applied to assess whether the proportion of cells showing a significant effect exceeded the expected false positive rate (alpha = 0.05) under the null hypothesis of no coupling. Population significance was defined as a FDR-corrected p &lt; 0.05 in the bootstrap distribution. All reported coupling yields passed this criterion.</w:t>
      </w:r>
    </w:p>
    <w:p>
      <w:pPr>
        <w:keepNext/>
        <w:spacing w:before="280" w:after="80"/>
      </w:pPr>
      <w:r>
        <w:rPr>
          <w:rFonts w:ascii="Times New Roman" w:hAnsi="Times New Roman"/>
          <w:b/>
          <w:i w:val="0"/>
          <w:sz w:val="26"/>
        </w:rPr>
        <w:t>S12. Predictive Models (pvc-6)</w:t>
      </w:r>
    </w:p>
    <w:p>
      <w:pPr>
        <w:keepNext/>
        <w:spacing w:before="160" w:after="40"/>
      </w:pPr>
      <w:r>
        <w:rPr>
          <w:rFonts w:ascii="Times New Roman" w:hAnsi="Times New Roman"/>
          <w:b w:val="0"/>
          <w:i/>
          <w:sz w:val="22"/>
        </w:rPr>
        <w:t>Stimulus type classification</w:t>
      </w:r>
    </w:p>
    <w:p>
      <w:pPr>
        <w:spacing w:before="0" w:after="160" w:line="440" w:lineRule="exact"/>
      </w:pPr>
      <w:r>
        <w:rPr>
          <w:rFonts w:ascii="Times New Roman" w:hAnsi="Times New Roman"/>
          <w:b w:val="0"/>
          <w:i w:val="0"/>
          <w:sz w:val="22"/>
        </w:rPr>
        <w:t>To test whether AP waveform features encoded information about the type of injected current, we trained three classifiers to predict stimulus type (constant, ramp, or pink noise) from the extracted waveform feature set: (1) multinomial logistic regression (solver: lbfgs; scikit-learn LogisticRegression); (2) linear support vector machine (SVM; kernel: linear; regularization C selected from {0.1, 1, 10, 100} via 5-fold cross-validation grid search; scikit-learn SVC); and (3) random forest (hyperparameters n_estimators, max_depth, min_samples_split, min_samples_leaf, and bootstrap selected via 5-fold grid search from the ranges {50, 100, 200}, {None, 10, 20}, {2, 5, 10}, {1, 2, 4}, and {True} respectively). Each model was additionally evaluated using bootstrapped accuracy: training data were resampled with replacement (n = 1,000 iterations) and the model was refitted and evaluated on the held-out test set, yielding a bootstrap distribution of accuracy. Cross-validated mean accuracy was computed using 5-fold cross-validation. Feature importance was assessed using the built-in feature_importances_ attribute of the random forest.</w:t>
      </w:r>
    </w:p>
    <w:p>
      <w:pPr>
        <w:keepNext/>
        <w:spacing w:before="160" w:after="40"/>
      </w:pPr>
      <w:r>
        <w:rPr>
          <w:rFonts w:ascii="Times New Roman" w:hAnsi="Times New Roman"/>
          <w:b w:val="0"/>
          <w:i/>
          <w:sz w:val="22"/>
        </w:rPr>
        <w:t>Stimulus amplitude regression (pink noise)</w:t>
      </w:r>
    </w:p>
    <w:p>
      <w:pPr>
        <w:spacing w:before="0" w:after="160" w:line="440" w:lineRule="exact"/>
      </w:pPr>
      <w:r>
        <w:rPr>
          <w:rFonts w:ascii="Times New Roman" w:hAnsi="Times New Roman"/>
          <w:b w:val="0"/>
          <w:i w:val="0"/>
          <w:sz w:val="22"/>
        </w:rPr>
        <w:t>To quantify how much information about the instantaneous stimulation amplitude was encoded in AP waveform features, we used ridge regression (Ridge; scikit-learn). For each spike, we extracted the mean, standard deviation, and spectral exponent of the injected current in a 5 ms window immediately preceding the spike, and used these as stimulus features. Waveform features (ramp_amp, inflection_time, inflection_amp, peak_amp, peak_width, peak_sharpness, exp_lambda, exp_const, log_ISI) were used as predictors. Model performance was evaluated using 5-fold cross-validated R^2 and bootstrapped mean R^2 (n = 1,000). Three models were compared: waveform features only, stimulus features only, and combined waveform + stimulus features.</w:t>
      </w:r>
    </w:p>
    <w:p>
      <w:pPr>
        <w:keepNext/>
        <w:spacing w:before="160" w:after="40"/>
      </w:pPr>
      <w:r>
        <w:rPr>
          <w:rFonts w:ascii="Times New Roman" w:hAnsi="Times New Roman"/>
          <w:b w:val="0"/>
          <w:i/>
          <w:sz w:val="22"/>
        </w:rPr>
        <w:t>ISI prediction</w:t>
      </w:r>
    </w:p>
    <w:p>
      <w:pPr>
        <w:spacing w:before="0" w:after="160" w:line="440" w:lineRule="exact"/>
      </w:pPr>
      <w:r>
        <w:rPr>
          <w:rFonts w:ascii="Times New Roman" w:hAnsi="Times New Roman"/>
          <w:b w:val="0"/>
          <w:i w:val="0"/>
          <w:sz w:val="22"/>
        </w:rPr>
        <w:t>To assess whether AP waveform shape could predict the time to the next spike (log_ISI), ridge regression was applied using the same cross-validation and bootstrapping scheme as for stimulus amplitude. Three models were compared: waveform features only, stimulus features only, and combined waveform + stimulus features.</w:t>
      </w:r>
    </w:p>
    <w:p>
      <w:pPr>
        <w:keepNext/>
        <w:spacing w:before="280" w:after="80"/>
      </w:pPr>
      <w:r>
        <w:rPr>
          <w:rFonts w:ascii="Times New Roman" w:hAnsi="Times New Roman"/>
          <w:b/>
          <w:i w:val="0"/>
          <w:sz w:val="26"/>
        </w:rPr>
        <w:t>S13. Figure Conventions and Plotting Guidelines</w:t>
      </w:r>
    </w:p>
    <w:p>
      <w:pPr>
        <w:spacing w:before="0" w:after="160" w:line="440" w:lineRule="exact"/>
      </w:pPr>
      <w:r>
        <w:rPr>
          <w:rFonts w:ascii="Times New Roman" w:hAnsi="Times New Roman"/>
          <w:b w:val="0"/>
          <w:i w:val="0"/>
          <w:sz w:val="22"/>
        </w:rPr>
        <w:t>All figures were generated using matplotlib (&gt;=3.0) and seaborn. Statistical significance was indicated as: * p &lt; 0.05, ** p &lt; 0.01, *** p &lt; 0.001, ns: not significant, after BH-FDR correction unless otherwise stated.</w:t>
      </w:r>
    </w:p>
    <w:p>
      <w:pPr>
        <w:keepNext/>
        <w:spacing w:before="160" w:after="40"/>
      </w:pPr>
      <w:r>
        <w:rPr>
          <w:rFonts w:ascii="Times New Roman" w:hAnsi="Times New Roman"/>
          <w:b w:val="0"/>
          <w:i/>
          <w:sz w:val="22"/>
        </w:rPr>
        <w:t>Color conventions for waveform cluster groups</w:t>
      </w:r>
    </w:p>
    <w:p>
      <w:pPr>
        <w:spacing w:before="0" w:after="160" w:line="440" w:lineRule="exact"/>
      </w:pPr>
      <w:r>
        <w:rPr>
          <w:rFonts w:ascii="Times New Roman" w:hAnsi="Times New Roman"/>
          <w:b w:val="0"/>
          <w:i w:val="0"/>
          <w:sz w:val="22"/>
        </w:rPr>
        <w:t>Spike waveform cluster groups are colored using the Wong (2011) colorblind-safe palette: Low clusters: blue (#0072B2); Mid clusters: green (#009E73); High clusters: orange (#D55E00). These colors are used consistently across all figures showing cluster-level data.</w:t>
      </w:r>
    </w:p>
    <w:p>
      <w:pPr>
        <w:keepNext/>
        <w:spacing w:before="160" w:after="40"/>
      </w:pPr>
      <w:r>
        <w:rPr>
          <w:rFonts w:ascii="Times New Roman" w:hAnsi="Times New Roman"/>
          <w:b w:val="0"/>
          <w:i/>
          <w:sz w:val="22"/>
        </w:rPr>
        <w:t>Priority cell figure borders</w:t>
      </w:r>
    </w:p>
    <w:p>
      <w:pPr>
        <w:spacing w:before="0" w:after="160" w:line="440" w:lineRule="exact"/>
      </w:pPr>
      <w:r>
        <w:rPr>
          <w:rFonts w:ascii="Times New Roman" w:hAnsi="Times New Roman"/>
          <w:b w:val="0"/>
          <w:i w:val="0"/>
          <w:sz w:val="22"/>
        </w:rPr>
        <w:t>In population-level figures (e.g., the waveform grid), priority cells (c3, c4, c21, c24, c26, c27, c42) are indicated by an orange border around the corresponding panel. Non-priority cells use a default gray border.</w:t>
      </w:r>
    </w:p>
    <w:p>
      <w:pPr>
        <w:keepNext/>
        <w:spacing w:before="160" w:after="40"/>
      </w:pPr>
      <w:r>
        <w:rPr>
          <w:rFonts w:ascii="Times New Roman" w:hAnsi="Times New Roman"/>
          <w:b w:val="0"/>
          <w:i/>
          <w:sz w:val="22"/>
        </w:rPr>
        <w:t>Effect size reporting</w:t>
      </w:r>
    </w:p>
    <w:p>
      <w:pPr>
        <w:spacing w:before="0" w:after="160" w:line="440" w:lineRule="exact"/>
      </w:pPr>
      <w:r>
        <w:rPr>
          <w:rFonts w:ascii="Times New Roman" w:hAnsi="Times New Roman"/>
          <w:b w:val="0"/>
          <w:i w:val="0"/>
          <w:sz w:val="22"/>
        </w:rPr>
        <w:t>Effect sizes are reported as Cohen's d with pooled standard deviation. For population-level comparisons, the absolute value of Cohen's d (|d|) is used to compare effect magnitudes across groups without regard to direction. Direction is reported separately as the sign of the High - Low difference.</w:t>
      </w:r>
    </w:p>
    <w:p>
      <w:pPr>
        <w:keepNext/>
        <w:spacing w:before="280" w:after="80"/>
      </w:pPr>
      <w:r>
        <w:rPr>
          <w:rFonts w:ascii="Times New Roman" w:hAnsi="Times New Roman"/>
          <w:b/>
          <w:i w:val="0"/>
          <w:sz w:val="26"/>
        </w:rPr>
        <w:t>S14. Software and Reproducibility</w:t>
      </w:r>
    </w:p>
    <w:p>
      <w:pPr>
        <w:spacing w:before="0" w:after="160" w:line="440" w:lineRule="exact"/>
      </w:pPr>
      <w:r>
        <w:rPr>
          <w:rFonts w:ascii="Times New Roman" w:hAnsi="Times New Roman"/>
          <w:b w:val="0"/>
          <w:i w:val="0"/>
          <w:sz w:val="22"/>
        </w:rPr>
        <w:t>All analyses were performed in Python (version &gt;= 3.6). Core scientific computing libraries: NumPy (&gt;=1.18), SciPy (&gt;=1.4), pandas, and scikit-learn (Pedregosa et al., 2011). Electrophysiological data analyses used the neurodsp toolbox (&gt;=2.1; Cole et al., 2019) for spectral estimation, specparam/fooof (Haller et al., 2018; Donoghue et al., 2020) for spectral parameterization, bycycle (&gt;=1.0; Cole &amp; Voytek, 2019) for waveform analysis, and MNE-Python for time-frequency representations. Figures were generated with matplotlib (&gt;=3.0) and seaborn, using the Wong (2011) colorblind-safe palette for cluster group colors. Statistical analyses used non-parametric tests throughout: Kruskal-Wallis for group comparisons and Spearman correlation for bivariate associations. Figures were saved at 300 dpi (PDF) and 150 dpi (PNG). All code is publicly available on GitHub at https://github.com/voytekresearch.</w:t>
      </w:r>
    </w:p>
    <w:p>
      <w:pPr>
        <w:spacing w:before="80" w:after="80"/>
        <w:pBdr>
          <w:bottom w:val="single" w:sz="6" w:space="1" w:color="auto"/>
        </w:pBdr>
      </w:pPr>
    </w:p>
    <w:p>
      <w:pPr>
        <w:keepNext/>
        <w:spacing w:before="160" w:after="80"/>
      </w:pPr>
      <w:r>
        <w:rPr>
          <w:rFonts w:ascii="Times New Roman" w:hAnsi="Times New Roman"/>
          <w:b/>
          <w:i w:val="0"/>
          <w:sz w:val="22"/>
        </w:rPr>
        <w:t>References</w:t>
      </w:r>
    </w:p>
    <w:p>
      <w:pPr>
        <w:spacing w:before="0" w:after="80" w:line="360" w:lineRule="exact"/>
      </w:pPr>
      <w:r>
        <w:rPr>
          <w:rFonts w:ascii="Times New Roman" w:hAnsi="Times New Roman"/>
          <w:b w:val="0"/>
          <w:i w:val="0"/>
          <w:sz w:val="20"/>
        </w:rPr>
        <w:t>Babadi, B., &amp; Brown, E.N. (2014). A Review of Multitaper Spectral Analysis. IEEE Transactions on Biomedical Engineering, 61(5), 1555-1564.</w:t>
      </w:r>
    </w:p>
    <w:p>
      <w:pPr>
        <w:spacing w:before="0" w:after="80" w:line="360" w:lineRule="exact"/>
      </w:pPr>
      <w:r>
        <w:rPr>
          <w:rFonts w:ascii="Times New Roman" w:hAnsi="Times New Roman"/>
          <w:b w:val="0"/>
          <w:i w:val="0"/>
          <w:sz w:val="20"/>
        </w:rPr>
        <w:t>Berg, J. (2014). In vitro whole-cell patch clamp recordings from visual cortex neurons in the adult mouse. CRCNS. http://dx.doi.org/10.6080/K0H12ZXD</w:t>
      </w:r>
    </w:p>
    <w:p>
      <w:pPr>
        <w:spacing w:before="0" w:after="80" w:line="360" w:lineRule="exact"/>
      </w:pPr>
      <w:r>
        <w:rPr>
          <w:rFonts w:ascii="Times New Roman" w:hAnsi="Times New Roman"/>
          <w:b w:val="0"/>
          <w:i w:val="0"/>
          <w:sz w:val="20"/>
        </w:rPr>
        <w:t>Cole, S.R., &amp; Voytek, B. (2019). Cycle-by-cycle analysis of neural oscillations. Journal of Neurophysiology, 122(2), 849-861.</w:t>
      </w:r>
    </w:p>
    <w:p>
      <w:pPr>
        <w:spacing w:before="0" w:after="80" w:line="360" w:lineRule="exact"/>
      </w:pPr>
      <w:r>
        <w:rPr>
          <w:rFonts w:ascii="Times New Roman" w:hAnsi="Times New Roman"/>
          <w:b w:val="0"/>
          <w:i w:val="0"/>
          <w:sz w:val="20"/>
        </w:rPr>
        <w:t>Cole, S.R. et al. (2019). NeuroDSP: a package for neural digital signal processing. Journal of Open Source Software, 4(36), 1272.</w:t>
      </w:r>
    </w:p>
    <w:p>
      <w:pPr>
        <w:spacing w:before="0" w:after="80" w:line="360" w:lineRule="exact"/>
      </w:pPr>
      <w:r>
        <w:rPr>
          <w:rFonts w:ascii="Times New Roman" w:hAnsi="Times New Roman"/>
          <w:b w:val="0"/>
          <w:i w:val="0"/>
          <w:sz w:val="20"/>
        </w:rPr>
        <w:t>Donoghue, T. et al. (2020). Parameterizing neural power spectra into periodic and aperiodic components. Nature Neuroscience, 23(12), 1655-1665.</w:t>
      </w:r>
    </w:p>
    <w:p>
      <w:pPr>
        <w:spacing w:before="0" w:after="80" w:line="360" w:lineRule="exact"/>
      </w:pPr>
      <w:r>
        <w:rPr>
          <w:rFonts w:ascii="Times New Roman" w:hAnsi="Times New Roman"/>
          <w:b w:val="0"/>
          <w:i w:val="0"/>
          <w:sz w:val="20"/>
        </w:rPr>
        <w:t>Haller, M. et al. (2018). Parameterizing neural power spectra. bioRxiv. https://doi.org/10.1101/299859</w:t>
      </w:r>
    </w:p>
    <w:p>
      <w:pPr>
        <w:spacing w:before="0" w:after="80" w:line="360" w:lineRule="exact"/>
      </w:pPr>
      <w:r>
        <w:rPr>
          <w:rFonts w:ascii="Times New Roman" w:hAnsi="Times New Roman"/>
          <w:b w:val="0"/>
          <w:i w:val="0"/>
          <w:sz w:val="20"/>
        </w:rPr>
        <w:t>Marques-Smith, A. et al. (2018). Simultaneous patch-clamp and dense CMOS probe extracellular recordings. bioRxiv. https://doi.org/10.1101/370080</w:t>
      </w:r>
    </w:p>
    <w:p>
      <w:pPr>
        <w:spacing w:before="0" w:after="80" w:line="360" w:lineRule="exact"/>
      </w:pPr>
      <w:r>
        <w:rPr>
          <w:rFonts w:ascii="Times New Roman" w:hAnsi="Times New Roman"/>
          <w:b w:val="0"/>
          <w:i w:val="0"/>
          <w:sz w:val="20"/>
        </w:rPr>
        <w:t>Pedregosa, F. et al. (2011). Scikit-learn: Machine learning in Python. Journal of Machine Learning Research, 12, 2825-2830.</w:t>
      </w:r>
    </w:p>
    <w:p>
      <w:pPr>
        <w:spacing w:before="0" w:after="80" w:line="360" w:lineRule="exact"/>
      </w:pPr>
      <w:r>
        <w:rPr>
          <w:rFonts w:ascii="Times New Roman" w:hAnsi="Times New Roman"/>
          <w:b w:val="0"/>
          <w:i w:val="0"/>
          <w:sz w:val="20"/>
        </w:rPr>
        <w:t>Virtanen, P. et al. (2020). SciPy 1.0: Fundamental Algorithms for Scientific Computing in Python. Nature Methods, 17(3), 261-272.</w:t>
      </w:r>
    </w:p>
    <w:p>
      <w:pPr>
        <w:spacing w:before="0" w:after="80" w:line="360" w:lineRule="exact"/>
      </w:pPr>
      <w:r>
        <w:rPr>
          <w:rFonts w:ascii="Times New Roman" w:hAnsi="Times New Roman"/>
          <w:b w:val="0"/>
          <w:i w:val="0"/>
          <w:sz w:val="20"/>
        </w:rPr>
        <w:t>Welch, P.D. (1967). The use of fast Fourier transform for the estimation of power spectra. IEEE Transactions on Audio and Electroacoustics, 15(2), 70-73.</w:t>
      </w:r>
    </w:p>
    <w:p>
      <w:pPr>
        <w:spacing w:before="0" w:after="80" w:line="360" w:lineRule="exact"/>
      </w:pPr>
      <w:r>
        <w:rPr>
          <w:rFonts w:ascii="Times New Roman" w:hAnsi="Times New Roman"/>
          <w:b w:val="0"/>
          <w:i w:val="0"/>
          <w:sz w:val="20"/>
        </w:rPr>
        <w:t>Wong, B. (2011). Color blindness. Nature Methods, 8(6), 441.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