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40"/>
        </w:rPr>
        <w:t>Telco Customer Churn Analysis with AI/ML</w:t>
      </w:r>
    </w:p>
    <w:p>
      <w:pPr>
        <w:jc w:val="center"/>
      </w:pPr>
      <w:r>
        <w:rPr>
          <w:b/>
        </w:rPr>
        <w:br/>
        <w:t>IBM SkillsBuild Data Analytics with AI Internship 2026</w:t>
        <w:br/>
      </w:r>
      <w:r>
        <w:t>Submitted by: Vishal Singh</w:t>
        <w:br/>
      </w:r>
      <w:r>
        <w:t>Project Domain: Data Analytics / Artificial Intelligence / Machine Learning</w:t>
      </w:r>
    </w:p>
    <w:p>
      <w:r>
        <w:br w:type="page"/>
      </w:r>
    </w:p>
    <w:p>
      <w:pPr>
        <w:pStyle w:val="Heading1"/>
      </w:pPr>
      <w:r>
        <w:t>1. Executive Summary</w:t>
      </w:r>
    </w:p>
    <w:p>
      <w:r>
        <w:t>This project presents an end-to-end customer churn analytics solution using the IBM Telco Customer Churn sample dataset. The analysis covers data understanding, cleaning, exploratory data analysis, feature engineering, visualization, machine-learning classification, model evaluation, explainability and AI-assisted business insight generation.</w:t>
      </w:r>
    </w:p>
    <w:p>
      <w:r>
        <w:t>The objective is to understand patterns associated with customer churn and demonstrate how machine learning can be used to estimate churn probability for analytical prioritization. The project is educational and does not claim that any observed variable causes churn.</w:t>
      </w:r>
    </w:p>
    <w:p>
      <w:pPr>
        <w:pStyle w:val="Heading1"/>
      </w:pPr>
      <w:r>
        <w:t>2. Problem Statement</w:t>
      </w:r>
    </w:p>
    <w:p>
      <w:r>
        <w:t>Customer churn is an important business problem for subscription-based organizations. When customers leave, organizations may lose recurring revenue and need to spend additional resources acquiring replacement customers. The project asks which customer and service characteristics are associated with churn and whether machine-learning models can estimate churn risk.</w:t>
      </w:r>
    </w:p>
    <w:p>
      <w:pPr>
        <w:pStyle w:val="Heading1"/>
      </w:pPr>
      <w:r>
        <w:t>3. Objectives</w:t>
      </w:r>
    </w:p>
    <w:p>
      <w:pPr>
        <w:pStyle w:val="ListBullet"/>
      </w:pPr>
      <w:r>
        <w:t>Load and understand a real-world sample customer dataset.</w:t>
      </w:r>
    </w:p>
    <w:p>
      <w:pPr>
        <w:pStyle w:val="ListBullet"/>
      </w:pPr>
      <w:r>
        <w:t>Clean inconsistent data types and handle missing values.</w:t>
      </w:r>
    </w:p>
    <w:p>
      <w:pPr>
        <w:pStyle w:val="ListBullet"/>
      </w:pPr>
      <w:r>
        <w:t>Perform exploratory data analysis and visualization.</w:t>
      </w:r>
    </w:p>
    <w:p>
      <w:pPr>
        <w:pStyle w:val="ListBullet"/>
      </w:pPr>
      <w:r>
        <w:t>Create useful derived features such as service count and tenure bands.</w:t>
      </w:r>
    </w:p>
    <w:p>
      <w:pPr>
        <w:pStyle w:val="ListBullet"/>
      </w:pPr>
      <w:r>
        <w:t>Build Logistic Regression and Random Forest classification models.</w:t>
      </w:r>
    </w:p>
    <w:p>
      <w:pPr>
        <w:pStyle w:val="ListBullet"/>
      </w:pPr>
      <w:r>
        <w:t>Evaluate models using accuracy, precision, recall, F1 and ROC-AUC.</w:t>
      </w:r>
    </w:p>
    <w:p>
      <w:pPr>
        <w:pStyle w:val="ListBullet"/>
      </w:pPr>
      <w:r>
        <w:t>Interpret important model features.</w:t>
      </w:r>
    </w:p>
    <w:p>
      <w:pPr>
        <w:pStyle w:val="ListBullet"/>
      </w:pPr>
      <w:r>
        <w:t>Generate concise, AI/ML-assisted business insights from the analysis.</w:t>
      </w:r>
    </w:p>
    <w:p>
      <w:pPr>
        <w:pStyle w:val="Heading1"/>
      </w:pPr>
      <w:r>
        <w:t>4. Dataset Description</w:t>
      </w:r>
    </w:p>
    <w:p>
      <w:r>
        <w:t>The project uses IBM's public Telco Customer Churn sample dataset. IBM describes the sample as data for a fictional telecommunications company. The dataset contains 7,043 customer records and 21 original columns, including customer information, subscribed services, contract details, billing information and the Churn outcome.</w:t>
      </w:r>
    </w:p>
    <w:tbl>
      <w:tblPr>
        <w:tblStyle w:val="TableGrid"/>
        <w:tblW w:type="auto" w:w="0"/>
        <w:jc w:val="center"/>
        <w:tblLook w:firstColumn="1" w:firstRow="1" w:lastColumn="0" w:lastRow="0" w:noHBand="0" w:noVBand="1" w:val="04A0"/>
      </w:tblPr>
      <w:tblGrid>
        <w:gridCol w:w="4968"/>
        <w:gridCol w:w="4968"/>
      </w:tblGrid>
      <w:tr>
        <w:tc>
          <w:tcPr>
            <w:tcW w:type="dxa" w:w="4968"/>
          </w:tcPr>
          <w:p>
            <w:r>
              <w:t>Dataset Item</w:t>
            </w:r>
          </w:p>
        </w:tc>
        <w:tc>
          <w:tcPr>
            <w:tcW w:type="dxa" w:w="4968"/>
          </w:tcPr>
          <w:p>
            <w:r>
              <w:t>Details</w:t>
            </w:r>
          </w:p>
        </w:tc>
      </w:tr>
      <w:tr>
        <w:tc>
          <w:tcPr>
            <w:tcW w:type="dxa" w:w="4968"/>
          </w:tcPr>
          <w:p>
            <w:r>
              <w:t>Rows</w:t>
            </w:r>
          </w:p>
        </w:tc>
        <w:tc>
          <w:tcPr>
            <w:tcW w:type="dxa" w:w="4968"/>
          </w:tcPr>
          <w:p>
            <w:r>
              <w:t>7,043 customers</w:t>
            </w:r>
          </w:p>
        </w:tc>
      </w:tr>
      <w:tr>
        <w:tc>
          <w:tcPr>
            <w:tcW w:type="dxa" w:w="4968"/>
          </w:tcPr>
          <w:p>
            <w:r>
              <w:t>Original columns</w:t>
            </w:r>
          </w:p>
        </w:tc>
        <w:tc>
          <w:tcPr>
            <w:tcW w:type="dxa" w:w="4968"/>
          </w:tcPr>
          <w:p>
            <w:r>
              <w:t>21</w:t>
            </w:r>
          </w:p>
        </w:tc>
      </w:tr>
      <w:tr>
        <w:tc>
          <w:tcPr>
            <w:tcW w:type="dxa" w:w="4968"/>
          </w:tcPr>
          <w:p>
            <w:r>
              <w:t>Target</w:t>
            </w:r>
          </w:p>
        </w:tc>
        <w:tc>
          <w:tcPr>
            <w:tcW w:type="dxa" w:w="4968"/>
          </w:tcPr>
          <w:p>
            <w:r>
              <w:t>Churn (Yes/No)</w:t>
            </w:r>
          </w:p>
        </w:tc>
      </w:tr>
      <w:tr>
        <w:tc>
          <w:tcPr>
            <w:tcW w:type="dxa" w:w="4968"/>
          </w:tcPr>
          <w:p>
            <w:r>
              <w:t>Source</w:t>
            </w:r>
          </w:p>
        </w:tc>
        <w:tc>
          <w:tcPr>
            <w:tcW w:type="dxa" w:w="4968"/>
          </w:tcPr>
          <w:p>
            <w:r>
              <w:t>IBM Telco Customer Churn sample dataset</w:t>
            </w:r>
          </w:p>
        </w:tc>
      </w:tr>
      <w:tr>
        <w:tc>
          <w:tcPr>
            <w:tcW w:type="dxa" w:w="4968"/>
          </w:tcPr>
          <w:p>
            <w:r>
              <w:t>Format</w:t>
            </w:r>
          </w:p>
        </w:tc>
        <w:tc>
          <w:tcPr>
            <w:tcW w:type="dxa" w:w="4968"/>
          </w:tcPr>
          <w:p>
            <w:r>
              <w:t>CSV</w:t>
            </w:r>
          </w:p>
        </w:tc>
      </w:tr>
    </w:tbl>
    <w:p>
      <w:r>
        <w:t>Dataset URL: https://raw.githubusercontent.com/IBM/telco-customer-churn-on-icp4d/master/data/Telco-Customer-Churn.csv</w:t>
      </w:r>
    </w:p>
    <w:p>
      <w:pPr>
        <w:pStyle w:val="Heading1"/>
      </w:pPr>
      <w:r>
        <w:t>5. Tools and Technologies</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Machine Learning</w:t>
      </w:r>
    </w:p>
    <w:p>
      <w:pPr>
        <w:pStyle w:val="Heading1"/>
      </w:pPr>
      <w:r>
        <w:t>6. Data Preparation</w:t>
      </w:r>
    </w:p>
    <w:p>
      <w:r>
        <w:t>The TotalCharges field is converted from text to numeric values. The churn outcome is encoded as 1 for Yes and 0 for No. Customer ID is excluded from model training because it is an identifier rather than a meaningful predictive feature. A ServiceCount feature is created from available service indicators, and tenure is grouped into interpretable bands.</w:t>
      </w:r>
    </w:p>
    <w:p>
      <w:pPr>
        <w:pStyle w:val="Heading1"/>
      </w:pPr>
      <w:r>
        <w:t>7. Exploratory Data Analysis</w:t>
      </w:r>
    </w:p>
    <w:p>
      <w:r>
        <w:t>The notebook examines churn distribution and compares churn across contract type, tenure bands, internet service and monthly charges. The IBM sample is commonly used to demonstrate that churn is not evenly distributed across customer groups. The notebook computes all percentages directly from the dataset so the results remain reproducible.</w:t>
      </w:r>
    </w:p>
    <w:p>
      <w:pPr>
        <w:pStyle w:val="ListBullet"/>
      </w:pPr>
      <w:r>
        <w:t>Overall churn distribution is calculated.</w:t>
      </w:r>
    </w:p>
    <w:p>
      <w:pPr>
        <w:pStyle w:val="ListBullet"/>
      </w:pPr>
      <w:r>
        <w:t>Contract-wise churn rates are calculated.</w:t>
      </w:r>
    </w:p>
    <w:p>
      <w:pPr>
        <w:pStyle w:val="ListBullet"/>
      </w:pPr>
      <w:r>
        <w:t>Tenure-band churn rates are calculated.</w:t>
      </w:r>
    </w:p>
    <w:p>
      <w:pPr>
        <w:pStyle w:val="ListBullet"/>
      </w:pPr>
      <w:r>
        <w:t>Monthly-charge distributions are compared by churn status.</w:t>
      </w:r>
    </w:p>
    <w:p>
      <w:pPr>
        <w:pStyle w:val="ListBullet"/>
      </w:pPr>
      <w:r>
        <w:t>Internet-service churn rates are compared.</w:t>
      </w:r>
    </w:p>
    <w:p>
      <w:pPr>
        <w:pStyle w:val="Heading1"/>
      </w:pPr>
      <w:r>
        <w:t>8. Machine Learning Methodology</w:t>
      </w:r>
    </w:p>
    <w:p>
      <w:r>
        <w:t>The cleaned dataset is split into training and testing sets using stratification. Categorical variables are one-hot encoded and numeric variables are imputed and standardized within a scikit-learn pipeline.</w:t>
      </w:r>
    </w:p>
    <w:p>
      <w:r>
        <w:t>Two models are trained:</w:t>
      </w:r>
    </w:p>
    <w:p>
      <w:pPr>
        <w:pStyle w:val="ListBullet"/>
      </w:pPr>
      <w:r>
        <w:t>Logistic Regression — interpretable binary classification baseline.</w:t>
      </w:r>
    </w:p>
    <w:p>
      <w:pPr>
        <w:pStyle w:val="ListBullet"/>
      </w:pPr>
      <w:r>
        <w:t>Random Forest — ensemble model capable of capturing non-linear relationships.</w:t>
      </w:r>
    </w:p>
    <w:p>
      <w:pPr>
        <w:pStyle w:val="Heading1"/>
      </w:pPr>
      <w:r>
        <w:t>9. Model Evaluation</w:t>
      </w:r>
    </w:p>
    <w:p>
      <w:r>
        <w:t>The notebook reports Accuracy, Precision, Recall, F1-score and ROC-AUC. ROC curves and a confusion matrix are also generated. The metrics are intentionally calculated when the notebook is executed rather than hard-coded in this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Purpose</w:t>
            </w:r>
          </w:p>
        </w:tc>
        <w:tc>
          <w:tcPr>
            <w:tcW w:type="dxa" w:w="3312"/>
          </w:tcPr>
          <w:p>
            <w:r>
              <w:t>Used in Project</w:t>
            </w:r>
          </w:p>
        </w:tc>
      </w:tr>
      <w:tr>
        <w:tc>
          <w:tcPr>
            <w:tcW w:type="dxa" w:w="3312"/>
          </w:tcPr>
          <w:p>
            <w:r>
              <w:t>Accuracy</w:t>
            </w:r>
          </w:p>
        </w:tc>
        <w:tc>
          <w:tcPr>
            <w:tcW w:type="dxa" w:w="3312"/>
          </w:tcPr>
          <w:p>
            <w:r>
              <w:t>Overall proportion of correct predictions</w:t>
            </w:r>
          </w:p>
        </w:tc>
        <w:tc>
          <w:tcPr>
            <w:tcW w:type="dxa" w:w="3312"/>
          </w:tcPr>
          <w:p>
            <w:r>
              <w:t>Yes</w:t>
            </w:r>
          </w:p>
        </w:tc>
      </w:tr>
      <w:tr>
        <w:tc>
          <w:tcPr>
            <w:tcW w:type="dxa" w:w="3312"/>
          </w:tcPr>
          <w:p>
            <w:r>
              <w:t>Precision</w:t>
            </w:r>
          </w:p>
        </w:tc>
        <w:tc>
          <w:tcPr>
            <w:tcW w:type="dxa" w:w="3312"/>
          </w:tcPr>
          <w:p>
            <w:r>
              <w:t>Correctness of positive churn predictions</w:t>
            </w:r>
          </w:p>
        </w:tc>
        <w:tc>
          <w:tcPr>
            <w:tcW w:type="dxa" w:w="3312"/>
          </w:tcPr>
          <w:p>
            <w:r>
              <w:t>Yes</w:t>
            </w:r>
          </w:p>
        </w:tc>
      </w:tr>
      <w:tr>
        <w:tc>
          <w:tcPr>
            <w:tcW w:type="dxa" w:w="3312"/>
          </w:tcPr>
          <w:p>
            <w:r>
              <w:t>Recall</w:t>
            </w:r>
          </w:p>
        </w:tc>
        <w:tc>
          <w:tcPr>
            <w:tcW w:type="dxa" w:w="3312"/>
          </w:tcPr>
          <w:p>
            <w:r>
              <w:t>Ability to identify churn cases</w:t>
            </w:r>
          </w:p>
        </w:tc>
        <w:tc>
          <w:tcPr>
            <w:tcW w:type="dxa" w:w="3312"/>
          </w:tcPr>
          <w:p>
            <w:r>
              <w:t>Yes</w:t>
            </w:r>
          </w:p>
        </w:tc>
      </w:tr>
      <w:tr>
        <w:tc>
          <w:tcPr>
            <w:tcW w:type="dxa" w:w="3312"/>
          </w:tcPr>
          <w:p>
            <w:r>
              <w:t>F1-score</w:t>
            </w:r>
          </w:p>
        </w:tc>
        <w:tc>
          <w:tcPr>
            <w:tcW w:type="dxa" w:w="3312"/>
          </w:tcPr>
          <w:p>
            <w:r>
              <w:t>Balance of precision and recall</w:t>
            </w:r>
          </w:p>
        </w:tc>
        <w:tc>
          <w:tcPr>
            <w:tcW w:type="dxa" w:w="3312"/>
          </w:tcPr>
          <w:p>
            <w:r>
              <w:t>Yes</w:t>
            </w:r>
          </w:p>
        </w:tc>
      </w:tr>
      <w:tr>
        <w:tc>
          <w:tcPr>
            <w:tcW w:type="dxa" w:w="3312"/>
          </w:tcPr>
          <w:p>
            <w:r>
              <w:t>ROC-AUC</w:t>
            </w:r>
          </w:p>
        </w:tc>
        <w:tc>
          <w:tcPr>
            <w:tcW w:type="dxa" w:w="3312"/>
          </w:tcPr>
          <w:p>
            <w:r>
              <w:t>Ranking/discrimination ability across thresholds</w:t>
            </w:r>
          </w:p>
        </w:tc>
        <w:tc>
          <w:tcPr>
            <w:tcW w:type="dxa" w:w="3312"/>
          </w:tcPr>
          <w:p>
            <w:r>
              <w:t>Yes</w:t>
            </w:r>
          </w:p>
        </w:tc>
      </w:tr>
    </w:tbl>
    <w:p>
      <w:pPr>
        <w:pStyle w:val="Heading1"/>
      </w:pPr>
      <w:r>
        <w:t>10. AI/ML Risk Scoring</w:t>
      </w:r>
    </w:p>
    <w:p>
      <w:r>
        <w:t>The Random Forest model produces a churn probability for each test-set customer. These probabilities are grouped into Low, Medium and High educational risk bands. The risk band is intended to demonstrate how model output can be communicated to stakeholders; it should not be treated as a guaranteed prediction or an automated customer decision.</w:t>
      </w:r>
    </w:p>
    <w:p>
      <w:pPr>
        <w:pStyle w:val="Heading1"/>
      </w:pPr>
      <w:r>
        <w:t>11. AI-Assisted Insight Generation</w:t>
      </w:r>
    </w:p>
    <w:p>
      <w:r>
        <w:t>The notebook contains a lightweight AI-assisted insight layer that converts computed analytical values into concise business-language observations. The underlying values remain traceable to the dataset. In a production workflow, an approved generative-AI service could draft stakeholder summaries while preserving the original metrics and analyst review.</w:t>
      </w:r>
    </w:p>
    <w:p>
      <w:pPr>
        <w:pStyle w:val="Heading1"/>
      </w:pPr>
      <w:r>
        <w:t>12. Key Business Insights to Investigate</w:t>
      </w:r>
    </w:p>
    <w:p>
      <w:pPr>
        <w:pStyle w:val="ListBullet"/>
      </w:pPr>
      <w:r>
        <w:t>Investigate customers in the early-tenure period because retention risk can differ substantially by tenure.</w:t>
      </w:r>
    </w:p>
    <w:p>
      <w:pPr>
        <w:pStyle w:val="ListBullet"/>
      </w:pPr>
      <w:r>
        <w:t>Compare month-to-month customers with longer contract groups when designing retention experiments.</w:t>
      </w:r>
    </w:p>
    <w:p>
      <w:pPr>
        <w:pStyle w:val="ListBullet"/>
      </w:pPr>
      <w:r>
        <w:t>Examine customers with higher monthly charges alongside their service mix and contract type.</w:t>
      </w:r>
    </w:p>
    <w:p>
      <w:pPr>
        <w:pStyle w:val="ListBullet"/>
      </w:pPr>
      <w:r>
        <w:t>Use model probabilities to prioritize analytical review rather than automatically labeling customers.</w:t>
      </w:r>
    </w:p>
    <w:p>
      <w:pPr>
        <w:pStyle w:val="ListBullet"/>
      </w:pPr>
      <w:r>
        <w:t>Validate proposed retention actions with controlled experiments before making causal claims.</w:t>
      </w:r>
    </w:p>
    <w:p>
      <w:pPr>
        <w:pStyle w:val="Heading1"/>
      </w:pPr>
      <w:r>
        <w:t>13. Limitations</w:t>
      </w:r>
    </w:p>
    <w:p>
      <w:pPr>
        <w:pStyle w:val="ListBullet"/>
      </w:pPr>
      <w:r>
        <w:t>The dataset is a sample snapshot and not a live production database.</w:t>
      </w:r>
    </w:p>
    <w:p>
      <w:pPr>
        <w:pStyle w:val="ListBullet"/>
      </w:pPr>
      <w:r>
        <w:t>The dataset does not provide a complete monthly time series for each customer.</w:t>
      </w:r>
    </w:p>
    <w:p>
      <w:pPr>
        <w:pStyle w:val="ListBullet"/>
      </w:pPr>
      <w:r>
        <w:t>Observed associations do not prove causation.</w:t>
      </w:r>
    </w:p>
    <w:p>
      <w:pPr>
        <w:pStyle w:val="ListBullet"/>
      </w:pPr>
      <w:r>
        <w:t>Model performance depends on preprocessing, split strategy and model parameters.</w:t>
      </w:r>
    </w:p>
    <w:p>
      <w:pPr>
        <w:pStyle w:val="ListBullet"/>
      </w:pPr>
      <w:r>
        <w:t>Risk scores should support human analysis rather than replace human judgment.</w:t>
      </w:r>
    </w:p>
    <w:p>
      <w:pPr>
        <w:pStyle w:val="Heading1"/>
      </w:pPr>
      <w:r>
        <w:t>14. Conclusion</w:t>
      </w:r>
    </w:p>
    <w:p>
      <w:r>
        <w:t>The project demonstrates a complete data analytics and AI/ML workflow from raw data to business-oriented insight. It combines Python-based data preparation, EDA, visualization, machine learning, evaluation and explainability. The notebook is reproducible because the main analytical calculations are generated directly from the public IBM sample dataset.</w:t>
      </w:r>
    </w:p>
    <w:p>
      <w:pPr>
        <w:pStyle w:val="Heading1"/>
      </w:pPr>
      <w:r>
        <w:t>15. References</w:t>
      </w:r>
    </w:p>
    <w:p>
      <w:r>
        <w:t>IBM Telco Customer Churn repository: https://github.com/IBM/telco-customer-churn-on-icp4d</w:t>
      </w:r>
    </w:p>
    <w:p>
      <w:r>
        <w:t>IBM Telco Customer Churn dataset: https://raw.githubusercontent.com/IBM/telco-customer-churn-on-icp4d/master/data/Telco-Customer-Churn.csv</w:t>
      </w:r>
    </w:p>
    <w:p>
      <w:r>
        <w:t>Scikit-learn documentation: https://scikit-learn.org/</w:t>
      </w:r>
    </w:p>
    <w:p>
      <w:r>
        <w:t>Pandas documentation: https://pandas.pydata.org/docs/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