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sz w:val="24"/>
        </w:rPr>
        <w:t>{{DENOMINACION_SAS}} : Comuníquese la constitución de una Sociedad por Acciones Simplificada, conforme a las siguientes previsiones legales: 1°) {{TITULO_SOCIOS}}: {% for s in socios %}{{ s.nombre }}, {{ s.doc_string }}, {{ s.edad }} años de edad, de nacionalidad {{ s.nacionalidad }}, {{ s.nacido_a }} el {{ s.fecha_nacimiento }}, profesión: {{ s.profesion }}, estado civil: {{ s.estado_civil }}, con domicilio en {{ s.domicilio }}, constituyendo dirección electrónica: {{ s.email }}{% if not loop.last %}; {% else %} {% endif %}{% endfor %}Fecha del acta constitutiva: {{FECHA_ACTA}}; 2°) Razón Social: {{DENOMINACION_SAS}} S.A.S. 3°) Sede Social: {{SEDE_SOCIAL}} 4°) Objeto: {{OBJETO_SOCIAL}} 5°) Plazo: 99 años contados a partir de la fecha de su constitución. 6°) Capital Social: El Capital Social es de ${{CAPITAL_SOCIAL}}, representado por {{CANTIDAD_ACCIONES}} acciones ordinarias nominativas no endosables de $100,00 (PESOS CIEN), valor nominal cada una y con derecho a 1 (UN) voto por acción. {{FRASE_SUSCRIPTORES}} el 100% del capital social de acuerdo con el siguiente detalle: {% for s in socios %}{{ s.nombre }} suscribe la cantidad de {{ s.acciones_letras }} ({{ s.acciones_susc }}) acciones ordinarias nominativas no endosables, de PESOS ARGENTINOS CIEN ($100) valor nominal cada una y con derecho a un voto por acción{% if not loop.last %}, {% else %}. {% endif %}{% endfor %}El capital social se integra en un veinticinco por ciento (25%) en dinero efectivo, acreditándose tal circunstancia mediante la constancia de pago de los gastos correspondientes a la constitución de la sociedad, debiendo integrarse el saldo pendiente del capital social dentro del plazo máximo de dos (2) años, contados desde la fecha de constitución de la sociedad. 7°) Órgano de Administración: ADMINISTRADOR TITULAR: {{ADMINISTRADOR_TITULAR}}, ADMINISTRADOR SUPLENTE: {{ADMINISTRADOR_SUPLENTE}}. 8°) Órgano de Fiscalización: la sociedad prescinde de la sindicatura. 9°) Representación de la sociedad: la representación de la sociedad será ejercida por el administrador titular designado. 10°) Fecha de cierre de ejercicio: 31 de diciembre de cada año.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