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320" w:line="480" w:lineRule="auto"/>
        <w:jc w:val="center"/>
      </w:pPr>
      <w:r>
        <w:rPr>
          <w:rFonts w:ascii="Times New Roman" w:cs="Times New Roman" w:eastAsia="Times New Roman" w:hAnsi="Times New Roman"/>
          <w:b/>
          <w:bCs/>
          <w:sz w:val="28"/>
          <w:szCs w:val="28"/>
        </w:rPr>
        <w:t xml:space="preserve">The Borromean Structure of RSI: Knot Theory, Triple Network Architecture, and Active Inference</w:t>
      </w:r>
    </w:p>
    <w:p>
      <w:pPr>
        <w:spacing w:before="0" w:after="120" w:line="480" w:lineRule="auto"/>
        <w:jc w:val="center"/>
      </w:pPr>
      <w:r>
        <w:rPr>
          <w:rFonts w:ascii="Times New Roman" w:cs="Times New Roman" w:eastAsia="Times New Roman" w:hAnsi="Times New Roman"/>
          <w:sz w:val="24"/>
          <w:szCs w:val="24"/>
        </w:rPr>
        <w:t xml:space="preserve">Vassilis Papathanasiou</w:t>
      </w:r>
    </w:p>
    <w:p>
      <w:pPr>
        <w:spacing w:before="0" w:after="480" w:line="480" w:lineRule="auto"/>
        <w:jc w:val="center"/>
      </w:pPr>
      <w:r>
        <w:rPr>
          <w:rFonts w:ascii="Times New Roman" w:cs="Times New Roman" w:eastAsia="Times New Roman" w:hAnsi="Times New Roman"/>
          <w:i/>
          <w:iCs/>
          <w:sz w:val="22"/>
          <w:szCs w:val="22"/>
        </w:rPr>
        <w:t xml:space="preserve">Target journal: Neuropsychoanalysis</w:t>
      </w:r>
    </w:p>
    <w:p>
      <w:pPr>
        <w:spacing w:before="240" w:after="160" w:line="480" w:lineRule="auto"/>
        <w:jc w:val="center"/>
      </w:pPr>
      <w:r>
        <w:rPr>
          <w:rFonts w:ascii="Times New Roman" w:cs="Times New Roman" w:eastAsia="Times New Roman" w:hAnsi="Times New Roman"/>
          <w:b/>
          <w:bCs/>
          <w:sz w:val="24"/>
          <w:szCs w:val="24"/>
        </w:rPr>
        <w:t xml:space="preserve">Abstract</w:t>
      </w:r>
    </w:p>
    <w:p>
      <w:pPr>
        <w:spacing w:before="0" w:after="240" w:line="480" w:lineRule="auto"/>
      </w:pPr>
      <w:r>
        <w:rPr>
          <w:rFonts w:ascii="Times New Roman" w:cs="Times New Roman" w:eastAsia="Times New Roman" w:hAnsi="Times New Roman"/>
          <w:sz w:val="22"/>
          <w:szCs w:val="22"/>
        </w:rPr>
        <w:t xml:space="preserve">Lacan’s Borromean topology of RSI receives a dual treatment: knot-theoretic analysis establishing the mathematical accuracy of the Borromean property (zero pairwise Milnor linking numbers, non-zero triple Milnor invariant), and a neuroimaging homology identifying Real→Salience Network, Symbolic→Central Executive Network, Imaginary→Default Mode Network. The Borromean property is proposed as empirically testable via triple network conditional independence in resting-state fMRI. Clinical structures are formalized as Lorenz attractor regimes. The sinthome is formalized as a compensatory precision prior.</w:t>
      </w:r>
    </w:p>
    <w:p>
      <w:pPr>
        <w:spacing w:before="0" w:after="480" w:line="480" w:lineRule="auto"/>
      </w:pPr>
      <w:r>
        <w:rPr>
          <w:rFonts w:ascii="Times New Roman" w:cs="Times New Roman" w:eastAsia="Times New Roman" w:hAnsi="Times New Roman"/>
          <w:i/>
          <w:iCs/>
          <w:sz w:val="22"/>
          <w:szCs w:val="22"/>
        </w:rPr>
        <w:t xml:space="preserve">Keywords: Borromean rings, RSI, triple network, active inference, Milnor invariants, computational psychiatry, Lacanian topology</w:t>
      </w:r>
    </w:p>
    <w:p>
      <w:pPr>
        <w:spacing w:before="480" w:after="200" w:line="480" w:lineRule="auto"/>
      </w:pPr>
      <w:r>
        <w:rPr>
          <w:rFonts w:ascii="Times New Roman" w:cs="Times New Roman" w:eastAsia="Times New Roman" w:hAnsi="Times New Roman"/>
          <w:b/>
          <w:bCs/>
          <w:sz w:val="24"/>
          <w:szCs w:val="24"/>
        </w:rPr>
        <w:t xml:space="preserve">1. Introduction</w:t>
      </w:r>
    </w:p>
    <w:p>
      <w:pPr>
        <w:spacing w:before="0" w:after="240" w:line="480" w:lineRule="auto"/>
        <w:ind w:firstLine="720"/>
      </w:pPr>
      <w:r>
        <w:rPr>
          <w:rFonts w:ascii="Times New Roman" w:cs="Times New Roman" w:eastAsia="Times New Roman" w:hAnsi="Times New Roman"/>
          <w:sz w:val="24"/>
          <w:szCs w:val="24"/>
        </w:rPr>
        <w:t xml:space="preserve">Lacan’s identification of the three psychoanalytic registers — the Real, the Symbolic, and the Imaginary (RSI) — as a Borromean link is among his topologically most specific claims. The Borromean rings are three mutually unlinked circles such that removing any one frees the other two: the entanglement is triadic rather than pairwise. Lacan proposed this structure in Seminar XX and developed it through Seminar XXIV, arguing that the three registers of human experience are held together by precisely this second-order entanglement: neither Real and Symbolic, nor Symbolic and Imaginary, nor Real and Imaginary are directly linked, yet all three together are inseparable. This paper provides the first dual treatment of this claim: a rigorous knot-theoretic evaluation establishing the mathematical accuracy of the Borromean property, and a neuroimaging homology grounding the three registers in the brain’s three canonical large-scale resting-state networks.</w:t>
      </w:r>
    </w:p>
    <w:p>
      <w:pPr>
        <w:spacing w:before="0" w:after="240" w:line="480" w:lineRule="auto"/>
        <w:ind w:firstLine="720"/>
      </w:pPr>
      <w:r>
        <w:rPr>
          <w:rFonts w:ascii="Times New Roman" w:cs="Times New Roman" w:eastAsia="Times New Roman" w:hAnsi="Times New Roman"/>
          <w:sz w:val="24"/>
          <w:szCs w:val="24"/>
        </w:rPr>
        <w:t xml:space="preserve">The knot-theoretic analysis shows that Lacan’s characterization of the Borromean property is mathematically accurate. The three rings satisfy the required conditions: pairwise linking numbers are zero (lk(C_i, C_j) = 0 for all i ≠ j), and the triple Milnor invariant is non-zero (μ̅(123) = ±1). The philosophical consequences drawn from these properties follow structurally from the mathematics: the independence of any two registers is a topological theorem, not an asserted contingency.</w:t>
      </w:r>
    </w:p>
    <w:p>
      <w:pPr>
        <w:spacing w:before="0" w:after="240" w:line="480" w:lineRule="auto"/>
        <w:ind w:firstLine="720"/>
      </w:pPr>
      <w:r>
        <w:rPr>
          <w:rFonts w:ascii="Times New Roman" w:cs="Times New Roman" w:eastAsia="Times New Roman" w:hAnsi="Times New Roman"/>
          <w:sz w:val="24"/>
          <w:szCs w:val="24"/>
        </w:rPr>
        <w:t xml:space="preserve">The neuroimaging homology proposes that the Real register corresponds to the Salience Network (SN), the Symbolic to the Central Executive Network (CEN), and the Imaginary to the Default Mode Network (DMN). This is not merely an analogy: the structural properties that define each register in Lacan’s topology — its functional role, its relation to the other two, the characteristic pathology produced by its dysregulation — are instantiated by the corresponding network in the triple network architecture. The Borromean property generates a testable empirical prediction about the conditional independence structure of the three networks in resting-state fMRI.</w:t>
      </w:r>
    </w:p>
    <w:p>
      <w:r>
        <w:br w:type="page"/>
      </w:r>
    </w:p>
    <w:p>
      <w:pPr>
        <w:spacing w:after="320" w:before="720" w:line="480" w:lineRule="auto"/>
      </w:pPr>
      <w:bookmarkStart w:id="213" w:name="bm_ch7"/>
      <w:bookmarkEnd w:id="213"/>
      <w:r>
        <w:rPr>
          <w:rFonts w:ascii="Times New Roman" w:cs="Times New Roman" w:eastAsia="Times New Roman" w:hAnsi="Times New Roman"/>
          <w:b/>
          <w:bCs/>
          <w:sz w:val="28"/>
          <w:szCs w:val="28"/>
        </w:rPr>
        <w:t xml:space="preserve">Chapter 7: Knots, Links, and the Borromean Structure</w:t>
      </w:r>
    </w:p>
    <w:p>
      <w:pPr>
        <w:spacing w:after="200" w:before="480" w:line="480" w:lineRule="auto"/>
      </w:pPr>
      <w:r>
        <w:rPr>
          <w:rFonts w:ascii="Times New Roman" w:cs="Times New Roman" w:eastAsia="Times New Roman" w:hAnsi="Times New Roman"/>
          <w:b/>
          <w:bCs/>
          <w:sz w:val="24"/>
          <w:szCs w:val="24"/>
        </w:rPr>
        <w:t xml:space="preserve">7.1 The Borromean Topology: Formal Evaluation</w:t>
      </w:r>
    </w:p>
    <w:p>
      <w:pPr>
        <w:spacing w:after="240" w:before="0" w:line="480" w:lineRule="auto"/>
        <w:ind w:firstLine="720"/>
      </w:pPr>
      <w:r>
        <w:rPr>
          <w:rFonts w:ascii="Times New Roman" w:cs="Times New Roman" w:eastAsia="Times New Roman" w:hAnsi="Times New Roman"/>
          <w:sz w:val="24"/>
          <w:szCs w:val="24"/>
        </w:rPr>
        <w:t xml:space="preserve">Chapter 7 of the topology paper ('The Borromean Knot: Real, Symbolic, Imaginary Without Unity') provides the formal evaluation that the present chapter develops. The summary verdict: Lacan's characterization of the Borromean property is mathematically accurate. The zero pairwise linking numbers (lk(Cᵢ, Cⱼ) = 0 for all i ≠ j) and the non-zero triple Milnor invariant (μ̄(123) = ±1) are correctly identified, and the philosophical consequences drawn from these properties follow structurally from the mathematics. The Borromean material is Lacan's most technically rigorous topological work.</w:t>
      </w:r>
    </w:p>
    <w:p>
      <w:pPr>
        <w:spacing w:after="240" w:before="0" w:line="480" w:lineRule="auto"/>
        <w:ind w:firstLine="720"/>
      </w:pPr>
      <w:r>
        <w:rPr>
          <w:rFonts w:ascii="Times New Roman" w:cs="Times New Roman" w:eastAsia="Times New Roman" w:hAnsi="Times New Roman"/>
          <w:sz w:val="24"/>
          <w:szCs w:val="24"/>
        </w:rPr>
        <w:t xml:space="preserve">The formal limitation that the evaluation identifies is the assignment problem: the Borromean link is symmetric under permutation of its three components, and the differential treatment of the three registers — the specific identification of which ring is Real, which Symbolic, which Imaginary — requires additional argument beyond the topology. This additional argument is supplied by the present research program: the empirical finding of a structural homology between RSI and the triple network (the triple network mapping, ) provides the non-topological ground for the assignment, showing that the specific functional profiles of the three networks match the specific properties that Lacan attributes to the three registers.</w:t>
      </w:r>
    </w:p>
    <w:p>
      <w:pPr>
        <w:spacing w:after="200" w:before="480" w:line="480" w:lineRule="auto"/>
      </w:pPr>
      <w:r>
        <w:rPr>
          <w:rFonts w:ascii="Times New Roman" w:cs="Times New Roman" w:eastAsia="Times New Roman" w:hAnsi="Times New Roman"/>
          <w:b/>
          <w:bCs/>
          <w:sz w:val="24"/>
          <w:szCs w:val="24"/>
        </w:rPr>
        <w:t xml:space="preserve">7.2 The RSI/Triple Network Homology: From Analogy to Structural Identity</w:t>
      </w:r>
    </w:p>
    <w:p>
      <w:pPr>
        <w:spacing w:after="240" w:before="0" w:line="480" w:lineRule="auto"/>
        <w:ind w:firstLine="720"/>
      </w:pPr>
      <w:r>
        <w:rPr>
          <w:rFonts w:ascii="Times New Roman" w:cs="Times New Roman" w:eastAsia="Times New Roman" w:hAnsi="Times New Roman"/>
          <w:sz w:val="24"/>
          <w:szCs w:val="24"/>
        </w:rPr>
        <w:t xml:space="preserve">The central contribution of The argument developed here is that the RSI/triple network correspondence is not an analogy — a convenient similarity between two independently motivated structures — but a structural identity in a specific sense: the formal properties that define each register in Lacan's topology are instantiated by the corresponding network in the triple network model.</w:t>
      </w:r>
    </w:p>
    <w:p>
      <w:pPr>
        <w:spacing w:after="240" w:before="0" w:line="480" w:lineRule="auto"/>
        <w:ind w:firstLine="720"/>
      </w:pPr>
      <w:r>
        <w:rPr>
          <w:rFonts w:ascii="Times New Roman" w:cs="Times New Roman" w:eastAsia="Times New Roman" w:hAnsi="Times New Roman"/>
          <w:sz w:val="24"/>
          <w:szCs w:val="24"/>
        </w:rPr>
        <w:t xml:space="preserve">The Real register corresponds to the Salience Network (SN), centered on the anterior insula and dorsal anterior cingulate cortex. The SN's functional role is the detection and integration of physiologically and motivationally salient events — particularly interoceptive signals that bear on the organism's biological integrity. Its dysfunction — particularly aberrant precision-weighting, in which non-salient events are attributed high salience — is the computational signature of schizophrenic-spectrum conditions. The Lacanian Real is what resists symbolization, what returns as symptom or hallucination, what appears at the boundary of the symbolic as an irresolvable remainder. The SN is the network that registers what the symbolic order cannot symbolize: the interoceptive pressure, the somatic signal that arrives without symbolic mediation, the raw prediction error before it is contextualized by the generative model. This is the Real as the network-functional correlate: not because the SN 'is' the Real in a reductive sense, but because the SN's functional role in the triple network architecture instantiates the same structural position that the Real occupies in RSI.</w:t>
      </w:r>
    </w:p>
    <w:p>
      <w:pPr>
        <w:spacing w:after="240" w:before="0" w:line="480" w:lineRule="auto"/>
        <w:ind w:firstLine="720"/>
      </w:pPr>
      <w:r>
        <w:rPr>
          <w:rFonts w:ascii="Times New Roman" w:cs="Times New Roman" w:eastAsia="Times New Roman" w:hAnsi="Times New Roman"/>
          <w:sz w:val="24"/>
          <w:szCs w:val="24"/>
        </w:rPr>
        <w:t xml:space="preserve">The Symbolic register corresponds to the Central Executive Network (CEN), centered on the dorsolateral prefrontal cortex and posterior parietal cortex. The CEN supports the symbolic operations of working memory, cognitive control, and goal-directed reasoning — the operations through which the subject represents its own representations, plans in accordance with rules, and exercises the executive functions that Lacan identifies with the subject's inscription in the symbolic order. The CEN is the network that processes the signifier: the abstract representation, the rule, the instruction, the plan — the formal elements of the symbolic order that have no iconic resemblance to what they represent.</w:t>
      </w:r>
    </w:p>
    <w:p>
      <w:pPr>
        <w:spacing w:after="240" w:before="0" w:line="480" w:lineRule="auto"/>
        <w:ind w:firstLine="720"/>
      </w:pPr>
      <w:r>
        <w:rPr>
          <w:rFonts w:ascii="Times New Roman" w:cs="Times New Roman" w:eastAsia="Times New Roman" w:hAnsi="Times New Roman"/>
          <w:sz w:val="24"/>
          <w:szCs w:val="24"/>
        </w:rPr>
        <w:t xml:space="preserve">The Imaginary register corresponds to the Default Mode Network (DMN), centered on the medial prefrontal cortex and posterior cingulate cortex. The DMN supports self-referential processing, social cognition, and the simulation of other minds — the operations through which the subject models itself and others through the specular image. It is the network of the ego: the self-model, the imaginary identification, the construction of the subject's self-representation through the mirror of the Other. The DMN is deactivated during externally directed tasks and activated during self-referential, mind-wandering, and social-simulation tasks — precisely the register of imaginary self-constitution that Lacan identifies as the ego's domain.</w:t>
      </w:r>
    </w:p>
    <w:p>
      <w:pPr>
        <w:spacing w:after="200" w:before="480" w:line="480" w:lineRule="auto"/>
      </w:pPr>
      <w:r>
        <w:rPr>
          <w:rFonts w:ascii="Times New Roman" w:cs="Times New Roman" w:eastAsia="Times New Roman" w:hAnsi="Times New Roman"/>
          <w:b/>
          <w:bCs/>
          <w:sz w:val="24"/>
          <w:szCs w:val="24"/>
        </w:rPr>
        <w:t xml:space="preserve">7.3 The Borromean Property as Network Dynamic</w:t>
      </w:r>
    </w:p>
    <w:p>
      <w:pPr>
        <w:spacing w:after="240" w:before="0" w:line="480" w:lineRule="auto"/>
        <w:ind w:firstLine="720"/>
      </w:pPr>
      <w:r>
        <w:rPr>
          <w:rFonts w:ascii="Times New Roman" w:cs="Times New Roman" w:eastAsia="Times New Roman" w:hAnsi="Times New Roman"/>
          <w:sz w:val="24"/>
          <w:szCs w:val="24"/>
        </w:rPr>
        <w:t xml:space="preserve">The empirical significance of the Borromean topology for the triple network becomes apparent when we examine the characteristic dynamic of the three networks. In healthy subjects performing cognitive tasks, the DMN and CEN are anti-correlated: activation of one suppresses the other. This anti-correlation is the neural correlate of the Borromean property's consequence that no two registers are independently linked: the Imaginary (DMN) and Symbolic (CEN) cannot be simultaneously active in the same way — they are in dynamic opposition, and the subject must occupy one or the other without a stable synthesis.</w:t>
      </w:r>
    </w:p>
    <w:p>
      <w:pPr>
        <w:spacing w:after="240" w:before="0" w:line="480" w:lineRule="auto"/>
        <w:ind w:firstLine="720"/>
      </w:pPr>
      <w:r>
        <w:rPr>
          <w:rFonts w:ascii="Times New Roman" w:cs="Times New Roman" w:eastAsia="Times New Roman" w:hAnsi="Times New Roman"/>
          <w:sz w:val="24"/>
          <w:szCs w:val="24"/>
        </w:rPr>
        <w:t xml:space="preserve">The Salience Network mediates the transitions between DMN and CEN: its role is to determine which mode of processing is appropriate for the current context, shifting between the self-referential DMN mode and the externally-directed CEN mode in response to salient events. This mediation is the neural correlate of the Real's structural function: the Real is what interrupts the imaginary-symbolic duality, what forces a reorientation of the subject's relation to the symbolic, what arrives from outside the imaginary-symbolic axis as the intrusion that neither register can absorb.</w:t>
      </w:r>
    </w:p>
    <w:p>
      <w:pPr>
        <w:spacing w:after="240" w:before="0" w:line="480" w:lineRule="auto"/>
        <w:ind w:firstLine="720"/>
      </w:pPr>
      <w:r>
        <w:rPr>
          <w:rFonts w:ascii="Times New Roman" w:cs="Times New Roman" w:eastAsia="Times New Roman" w:hAnsi="Times New Roman"/>
          <w:sz w:val="24"/>
          <w:szCs w:val="24"/>
        </w:rPr>
        <w:t xml:space="preserve">The Borromean structure of this dynamic is precise: no two of the three networks maintain a stable positive coupling independently of the third (pairwise anti-correlation or independence), but all three together constitute the functional architecture of the subject's inference (the Borromean entanglement). The Milnor triple invariant μ̄(123) = ±1 finds its empirical correlate in the fact that disruption of any one network — as in specific psychopathological conditions — produces characteristic changes in the other two, changes that are not predictable from the pairwise relationships alone. This is the second-order character of the Borromean entanglement: it can only be detected by examining all three networks simultaneously.</w:t>
      </w:r>
    </w:p>
    <w:p>
      <w:pPr>
        <w:spacing w:after="200" w:before="480" w:line="480" w:lineRule="auto"/>
      </w:pPr>
      <w:r>
        <w:rPr>
          <w:rFonts w:ascii="Times New Roman" w:cs="Times New Roman" w:eastAsia="Times New Roman" w:hAnsi="Times New Roman"/>
          <w:b/>
          <w:bCs/>
          <w:sz w:val="24"/>
          <w:szCs w:val="24"/>
        </w:rPr>
        <w:t xml:space="preserve">7.4 The Sinthome as Compensatory Generative Model: Clinical Implications</w:t>
      </w:r>
    </w:p>
    <w:p>
      <w:pPr>
        <w:spacing w:after="240" w:before="0" w:line="480" w:lineRule="auto"/>
        <w:ind w:firstLine="720"/>
      </w:pPr>
      <w:r>
        <w:rPr>
          <w:rFonts w:ascii="Times New Roman" w:cs="Times New Roman" w:eastAsia="Times New Roman" w:hAnsi="Times New Roman"/>
          <w:sz w:val="24"/>
          <w:szCs w:val="24"/>
        </w:rPr>
        <w:t xml:space="preserve">The sinthome's formalization as a compensatory precision model (Chapter 9) receives its empirical grounding in the triple network framework. In computational psychiatric terms, the sinthome corresponds to a high-level model component that stabilizes the triple network architecture when the primary Borromean structure is defective. The idiosyncratic compensatory mechanisms documented in autism spectrum conditions — the special interests, routines, and perceptual strategies that function as stabilizers of the subject's functional architecture — are, in this framework, sinthomes: fourth components in the network architecture that maintain functional integrity despite a defect in the primary three-network structure.</w:t>
      </w:r>
    </w:p>
    <w:p>
      <w:pPr>
        <w:spacing w:after="240" w:before="0" w:line="480" w:lineRule="auto"/>
        <w:ind w:firstLine="720"/>
      </w:pPr>
      <w:r>
        <w:rPr>
          <w:rFonts w:ascii="Times New Roman" w:cs="Times New Roman" w:eastAsia="Times New Roman" w:hAnsi="Times New Roman"/>
          <w:sz w:val="24"/>
          <w:szCs w:val="24"/>
        </w:rPr>
        <w:t xml:space="preserve">The specific computational prediction is that the sinthome-as-compensatory-model should have the following signature in computational psychiatric simulations: (1) it should reduce the variance of the free energy over time in subjects with a primary defect in one of the three network registers; (2) it should maintain the functional separability of the three registers even when one is partially defective; and (3) its removal from the simulation should produce a return to the defective state — the collapse of the Borromean structure in the absence of the compensatory fourth component. These predictions are operationalized in active inference simulations and constitute the computational psychiatry research program that the Borromean topology motivates.</w:t>
      </w:r>
    </w:p>
    <w:p>
      <w:pPr>
        <w:spacing w:after="160" w:before="320" w:line="480" w:lineRule="auto"/>
      </w:pPr>
      <w:r>
        <w:rPr>
          <w:rFonts w:ascii="Times New Roman" w:cs="Times New Roman" w:eastAsia="Times New Roman" w:hAnsi="Times New Roman"/>
          <w:b/>
          <w:bCs/>
          <w:i/>
          <w:iCs/>
          <w:sz w:val="24"/>
          <w:szCs w:val="24"/>
        </w:rPr>
        <w:t xml:space="preserve">For §7.4 replacement</w:t>
      </w:r>
    </w:p>
    <w:p>
      <w:pPr>
        <w:spacing w:after="240" w:before="0" w:line="480" w:lineRule="auto"/>
        <w:ind w:firstLine="720"/>
      </w:pPr>
      <w:r>
        <w:rPr>
          <w:rFonts w:ascii="Times New Roman" w:cs="Times New Roman" w:eastAsia="Times New Roman" w:hAnsi="Times New Roman"/>
          <w:sz w:val="24"/>
          <w:szCs w:val="24"/>
        </w:rPr>
        <w:t xml:space="preserve">The thesis has identified an honest topological problem with the sinthome formalization and must now resolve it honestly rather than deflect it.</w:t>
      </w:r>
    </w:p>
    <w:p>
      <w:pPr>
        <w:spacing w:after="200" w:before="480" w:line="480" w:lineRule="auto"/>
      </w:pPr>
      <w:r>
        <w:rPr>
          <w:rFonts w:ascii="Times New Roman" w:cs="Times New Roman" w:eastAsia="Times New Roman" w:hAnsi="Times New Roman"/>
          <w:b/>
          <w:bCs/>
          <w:sz w:val="24"/>
          <w:szCs w:val="24"/>
        </w:rPr>
        <w:t xml:space="preserve">The problem stated precisely</w:t>
      </w:r>
    </w:p>
    <w:p>
      <w:pPr>
        <w:spacing w:after="240" w:before="0" w:line="480" w:lineRule="auto"/>
        <w:ind w:firstLine="720"/>
      </w:pPr>
      <w:r>
        <w:rPr>
          <w:rFonts w:ascii="Times New Roman" w:cs="Times New Roman" w:eastAsia="Times New Roman" w:hAnsi="Times New Roman"/>
          <w:sz w:val="24"/>
          <w:szCs w:val="24"/>
        </w:rPr>
        <w:t xml:space="preserve">Lacan introduces the sinthome in Seminar XXIII as a fourth ring that ties the three Borromean rings together — or more precisely, a fourth element that makes the triadic structure hold when it would otherwise dissolve. The topological question is: what does adding a fourth ring to a Borromean link produce?</w:t>
      </w:r>
    </w:p>
    <w:p>
      <w:pPr>
        <w:spacing w:after="240" w:before="0" w:line="480" w:lineRule="auto"/>
        <w:ind w:firstLine="720"/>
      </w:pPr>
      <w:r>
        <w:rPr>
          <w:rFonts w:ascii="Times New Roman" w:cs="Times New Roman" w:eastAsia="Times New Roman" w:hAnsi="Times New Roman"/>
          <w:sz w:val="24"/>
          <w:szCs w:val="24"/>
        </w:rPr>
        <w:t xml:space="preserve">A fourth Borromean component would require a 4-component link L with the following properties: (1) every pairwise linking number lk(C_i, C_j) = 0; (2) every triple Milnor invariant μ̄(ijk) = 0 for all triples {i,j,k} ⊂ {1,2,3,4}; and (3) the quadruple Milnor invariant μ̄(1234) ≠ 0. Such a link exists — it is a natural generalization of the Borromean rings to four components — but it is a different topological structure from the Borromean link. A Borromean 4-ring would be completely unlinked pairwise, unlinked in every triple, but entangled as a quadruple.</w:t>
      </w:r>
    </w:p>
    <w:p>
      <w:pPr>
        <w:spacing w:after="240" w:before="0" w:line="480" w:lineRule="auto"/>
        <w:ind w:firstLine="720"/>
      </w:pPr>
      <w:r>
        <w:rPr>
          <w:rFonts w:ascii="Times New Roman" w:cs="Times New Roman" w:eastAsia="Times New Roman" w:hAnsi="Times New Roman"/>
          <w:sz w:val="24"/>
          <w:szCs w:val="24"/>
        </w:rPr>
        <w:t xml:space="preserve">The problem: Lacan does not describe the sinthome as creating a Borromean 4-ring. He describes it as the element that holds the existing three rings together when one of them (typically the Symbolic, in the case of psychosis) fails to fulfill its Borromean function. The sinthome compensates for a defect in the three-ring structure; it is not a fourth Borromean component in the strict mathematical sense.</w:t>
      </w:r>
    </w:p>
    <w:p>
      <w:pPr>
        <w:spacing w:after="200" w:before="480" w:line="480" w:lineRule="auto"/>
      </w:pPr>
      <w:r>
        <w:rPr>
          <w:rFonts w:ascii="Times New Roman" w:cs="Times New Roman" w:eastAsia="Times New Roman" w:hAnsi="Times New Roman"/>
          <w:b/>
          <w:bCs/>
          <w:sz w:val="24"/>
          <w:szCs w:val="24"/>
        </w:rPr>
        <w:t xml:space="preserve">The resolution: functional substitution rather than topological extension</w:t>
      </w:r>
    </w:p>
    <w:p>
      <w:pPr>
        <w:spacing w:after="240" w:before="0" w:line="480" w:lineRule="auto"/>
        <w:ind w:firstLine="720"/>
      </w:pPr>
      <w:r>
        <w:rPr>
          <w:rFonts w:ascii="Times New Roman" w:cs="Times New Roman" w:eastAsia="Times New Roman" w:hAnsi="Times New Roman"/>
          <w:sz w:val="24"/>
          <w:szCs w:val="24"/>
        </w:rPr>
        <w:t xml:space="preserve">The sinthome is formalized not as a fourth topological component but as a change in the knotting architecture — a new tying operation that produces a different link type. Specifically: when the Borromean structure fails — when one register's contribution to the inseparability of the three is compromised — the sinthome operates by introducing a new type of linking that does not require the original Borromean entanglement to hold.</w:t>
      </w:r>
    </w:p>
    <w:p>
      <w:pPr>
        <w:spacing w:after="240" w:before="0" w:line="480" w:lineRule="auto"/>
        <w:ind w:firstLine="720"/>
      </w:pPr>
      <w:r>
        <w:rPr>
          <w:rFonts w:ascii="Times New Roman" w:cs="Times New Roman" w:eastAsia="Times New Roman" w:hAnsi="Times New Roman"/>
          <w:sz w:val="24"/>
          <w:szCs w:val="24"/>
        </w:rPr>
        <w:t xml:space="preserve">In the information-geometric framework, this has a precise analogue. The Borromean structure of RSI corresponds to the three-way conditional independence structure of the generative model: R (SN), S (CEN), and I (DMN) are pairwise conditionally independent given the Markov blanket, but all three together constitute the functional architecture. When this three-way structure is defective — when one network fails to contribute its conditional independence — the generative model collapses from a three-body entanglement to a two-body structure (or worse).</w:t>
      </w:r>
    </w:p>
    <w:p>
      <w:pPr>
        <w:spacing w:after="240" w:before="0" w:line="480" w:lineRule="auto"/>
        <w:ind w:firstLine="720"/>
      </w:pPr>
      <w:r>
        <w:rPr>
          <w:rFonts w:ascii="Times New Roman" w:cs="Times New Roman" w:eastAsia="Times New Roman" w:hAnsi="Times New Roman"/>
          <w:sz w:val="24"/>
          <w:szCs w:val="24"/>
        </w:rPr>
        <w:t xml:space="preserve">The sinthome, in the FEP formalization, is a new high-level model component M_s that does not create a fourth Borromean component but instead modulates the three-way interaction: it functions as a prior that constrains the joint distribution of R, S, and I in a way that stabilizes the Borromean structure even when one register is partially defective. Formally: M_s is a parameter in the hyperprior π(θ) such that π(θ_R, θ_S, θ_I | M_s) assigns high probability to configurations where the three registers are Borromean-entangled, compensating for the reduced contribution of the defective register.</w:t>
      </w:r>
    </w:p>
    <w:p>
      <w:pPr>
        <w:spacing w:after="240" w:before="0" w:line="480" w:lineRule="auto"/>
        <w:ind w:firstLine="720"/>
      </w:pPr>
      <w:r>
        <w:rPr>
          <w:rFonts w:ascii="Times New Roman" w:cs="Times New Roman" w:eastAsia="Times New Roman" w:hAnsi="Times New Roman"/>
          <w:sz w:val="24"/>
          <w:szCs w:val="24"/>
        </w:rPr>
        <w:t xml:space="preserve">This formalization concedes the topological point: the sinthome is not a fourth Borromean ring in the strict mathematical sense. What it is, formally, is a precision prior that enforces the three-way entanglement at the level of the hyperprior rather than at the level of the network dynamics. The honest position: the sinthome's knotting-theoretic structure — specifically, whether it introduces a genuine new topological invariant or merely compensates for the loss of an existing one — remains open. The FEP formalization is the best available formalization of the compensatory function; the topological characterization is deferred to future work.</w:t>
      </w:r>
    </w:p>
    <w:p>
      <w:r>
        <w:br w:type="page"/>
      </w:r>
    </w:p>
    <w:p>
      <w:pPr>
        <w:spacing w:after="200" w:before="480" w:line="480" w:lineRule="auto"/>
      </w:pPr>
      <w:r>
        <w:rPr>
          <w:rFonts w:ascii="Times New Roman" w:cs="Times New Roman" w:eastAsia="Times New Roman" w:hAnsi="Times New Roman"/>
          <w:b/>
          <w:bCs/>
          <w:sz w:val="24"/>
          <w:szCs w:val="24"/>
        </w:rPr>
        <w:t xml:space="preserve">7.5 Khovanov Homology, Witten's TQFT, and the Deeper Mathematics</w:t>
      </w:r>
    </w:p>
    <w:p>
      <w:pPr>
        <w:spacing w:after="240" w:before="0" w:line="480" w:lineRule="auto"/>
        <w:ind w:firstLine="720"/>
      </w:pPr>
      <w:r>
        <w:rPr>
          <w:rFonts w:ascii="Times New Roman" w:cs="Times New Roman" w:eastAsia="Times New Roman" w:hAnsi="Times New Roman"/>
          <w:sz w:val="24"/>
          <w:szCs w:val="24"/>
        </w:rPr>
        <w:t xml:space="preserve">The Jones polynomial and Khovanov homology extend the formal apparatus beyond what Lacan's collaborators could access in the 1970s, and the thesis develops their implications for the Borromean formalization.</w:t>
      </w:r>
    </w:p>
    <w:p>
      <w:pPr>
        <w:spacing w:after="240" w:before="0" w:line="480" w:lineRule="auto"/>
        <w:ind w:firstLine="720"/>
      </w:pPr>
      <w:r>
        <w:rPr>
          <w:rFonts w:ascii="Times New Roman" w:cs="Times New Roman" w:eastAsia="Times New Roman" w:hAnsi="Times New Roman"/>
          <w:sz w:val="24"/>
          <w:szCs w:val="24"/>
        </w:rPr>
        <w:t xml:space="preserve">Khovanov homology assigns a bigraded abelian group Kh^{i,j}(L) to any link L, with the property that its graded Euler characteristic recovers the Jones polynomial: Σ_{i,j} (-1)^i q^j rank(Kh^{i,j}(L)) = V_L(q). For the Borromean rings, the Khovanov homology groups have a specific structure that reflects the Brunnian property: the homology is non-trivial in specific bidegrees that encode the higher-order nature of the Borromean entanglement. A rigorous clinical topology would assign specific Khovanov homology groups to each clinical structure and ask whether the groups distinguish neurosis from psychosis from perversion in ways that the topology predicts.</w:t>
      </w:r>
    </w:p>
    <w:p>
      <w:pPr>
        <w:spacing w:after="240" w:before="0" w:line="480" w:lineRule="auto"/>
        <w:ind w:firstLine="720"/>
      </w:pPr>
      <w:r>
        <w:rPr>
          <w:rFonts w:ascii="Times New Roman" w:cs="Times New Roman" w:eastAsia="Times New Roman" w:hAnsi="Times New Roman"/>
          <w:sz w:val="24"/>
          <w:szCs w:val="24"/>
        </w:rPr>
        <w:t xml:space="preserve">Witten's connection between the Jones polynomial and Chern-Simons TQFT is the deepest mathematical context for the Borromean RSI structure. The Chern-Simons action S_{CS} = (k/4π) ∫_M Tr(A ∧ dA + (2/3)A ∧ A ∧ A) defines a TQFT whose Wilson loop observables ⟨W_R(K)⟩_{CS} equal the Jones polynomial V_K(t) with t = e^{2πi/(k+2)}. This means the topological invariants of the Borromean link — including the Milnor invariants that ground Lacan's formal claim — can be derived from the partition function of a physical quantum field theory. The statistical manifold of the FEP and the Chern-Simons TQFT are both instances of topological field theories that study global invariants of spaces rather than local field equations. The convergence of these two formalisms around the structure of the Lacanian subject is not coincidental but reflects the mathematical unity of frameworks that capture global, relational, topological structure.</w:t>
      </w:r>
    </w:p>
    <w:p>
      <w:pPr>
        <w:spacing w:after="200" w:before="480" w:line="480" w:lineRule="auto"/>
      </w:pPr>
      <w:r>
        <w:rPr>
          <w:rFonts w:ascii="Times New Roman" w:cs="Times New Roman" w:eastAsia="Times New Roman" w:hAnsi="Times New Roman"/>
          <w:b/>
          <w:bCs/>
          <w:sz w:val="24"/>
          <w:szCs w:val="24"/>
        </w:rPr>
        <w:t xml:space="preserve">7.6 Logical Time, Milnor Invariants, and the Après-Coup</w:t>
      </w:r>
    </w:p>
    <w:p>
      <w:pPr>
        <w:spacing w:after="240" w:before="0" w:line="480" w:lineRule="auto"/>
        <w:ind w:firstLine="720"/>
      </w:pPr>
      <w:r>
        <w:rPr>
          <w:rFonts w:ascii="Times New Roman" w:cs="Times New Roman" w:eastAsia="Times New Roman" w:hAnsi="Times New Roman"/>
          <w:sz w:val="24"/>
          <w:szCs w:val="24"/>
        </w:rPr>
        <w:t xml:space="preserve">The relationship between the Borromean topology and Lacan's account of logical time receives a formal treatment in Chapter 9 (in the context of the three temporal levels of active inference). Here the topological connection is made explicit: the three logical moments — the instant of the glance, the time for comprehending, and the moment of concluding — correspond to three levels of topological invariant in the Milnor hierarchy.</w:t>
      </w:r>
    </w:p>
    <w:p>
      <w:pPr>
        <w:spacing w:after="240" w:before="0" w:line="480" w:lineRule="auto"/>
        <w:ind w:firstLine="720"/>
      </w:pPr>
      <w:r>
        <w:rPr>
          <w:rFonts w:ascii="Times New Roman" w:cs="Times New Roman" w:eastAsia="Times New Roman" w:hAnsi="Times New Roman"/>
          <w:sz w:val="24"/>
          <w:szCs w:val="24"/>
        </w:rPr>
        <w:t xml:space="preserve">The instant of the glance is the first-order encounter with the link: the pairwise linking numbers, all of which are zero for the Borromean rings. At this level, the three registers appear to be unrelated — no first-order invariant detects their entanglement. The time for comprehending is the second-order analysis: the computation of the Milnor triple invariant μ̄(123) = ±1, which reveals the entanglement that the first-order analysis missed. The moment of concluding is the act of inference that commits to the Borromean interpretation on the basis of the second-order invariant, before the certainty that would require knowing all higher-order invariants: the subject concludes from the non-vanishing of μ̄(123) that the three registers are Borromean-entangled, even without knowing the full Khovanov homology.</w:t>
      </w:r>
    </w:p>
    <w:p>
      <w:pPr>
        <w:spacing w:after="240" w:before="0" w:line="480" w:lineRule="auto"/>
        <w:ind w:firstLine="720"/>
      </w:pPr>
      <w:r>
        <w:rPr>
          <w:rFonts w:ascii="Times New Roman" w:cs="Times New Roman" w:eastAsia="Times New Roman" w:hAnsi="Times New Roman"/>
          <w:sz w:val="24"/>
          <w:szCs w:val="24"/>
        </w:rPr>
        <w:t xml:space="preserve">The après-coup structure is formalized by the temporal asymmetry of this inference: the moment of concluding retroactively constitutes the instant of the glance as a glance at the Borromean structure, even though the first-order inspection showed nothing. The retroactive determination runs from the second-order invariant back to the first-order encounter: what was seen (zero linking numbers) is only understood to be a seeing of the Borromean property after the second-order analysis has been performed. This is the topological expression of après-coup: the meaning of the first moment is constituted retroactively by the second.</w:t>
      </w:r>
    </w:p>
    <w:p>
      <w:r>
        <w:br w:type="page"/>
      </w:r>
    </w:p>
    <w:p>
      <w:pPr>
        <w:spacing w:after="480" w:before="720" w:line="480" w:lineRule="auto"/>
        <w:jc w:val="center"/>
      </w:pPr>
      <w:bookmarkStart w:id="214" w:name="bm_part4"/>
      <w:bookmarkEnd w:id="214"/>
      <w:r>
        <w:rPr>
          <w:rFonts w:ascii="Times New Roman" w:cs="Times New Roman" w:eastAsia="Times New Roman" w:hAnsi="Times New Roman"/>
          <w:b/>
          <w:bCs/>
          <w:sz w:val="32"/>
          <w:szCs w:val="32"/>
        </w:rPr>
        <w:t xml:space="preserve">Part IV: The Naturalized Reconstruction</w:t>
      </w:r>
    </w:p>
    <w:p>
      <w:r>
        <w:br w:type="page"/>
      </w:r>
    </w:p>
    <w:p>
      <w:pPr>
        <w:spacing w:before="480" w:after="200" w:line="480" w:lineRule="auto"/>
      </w:pPr>
      <w:r>
        <w:rPr>
          <w:rFonts w:ascii="Times New Roman" w:cs="Times New Roman" w:eastAsia="Times New Roman" w:hAnsi="Times New Roman"/>
          <w:b/>
          <w:bCs/>
          <w:sz w:val="24"/>
          <w:szCs w:val="24"/>
        </w:rPr>
        <w:t xml:space="preserve">Discussion and Conclusion</w:t>
      </w:r>
    </w:p>
    <w:p>
      <w:pPr>
        <w:spacing w:before="0" w:after="240" w:line="480" w:lineRule="auto"/>
        <w:ind w:firstLine="720"/>
      </w:pPr>
      <w:r>
        <w:rPr>
          <w:rFonts w:ascii="Times New Roman" w:cs="Times New Roman" w:eastAsia="Times New Roman" w:hAnsi="Times New Roman"/>
          <w:sz w:val="24"/>
          <w:szCs w:val="24"/>
        </w:rPr>
        <w:t xml:space="preserve">The Borromean topology of RSI is both mathematically accurate and empirically tractable. The knot-theoretic analysis establishes what Lacan was claiming formally; the triple network homology provides the neural grounding that allows those claims to interface with contemporary cognitive neuroscience. The clinical formalizations — three attractor regimes corresponding to neurosis, melancholia, and psychosis, with quantitative characterization via Lyapunov exponents and solenoidal fractions — transform qualitative clinical distinctions into testable dynamical predictions.</w:t>
      </w:r>
    </w:p>
    <w:p>
      <w:pPr>
        <w:spacing w:before="0" w:after="240" w:line="480" w:lineRule="auto"/>
        <w:ind w:firstLine="720"/>
      </w:pPr>
      <w:r>
        <w:rPr>
          <w:rFonts w:ascii="Times New Roman" w:cs="Times New Roman" w:eastAsia="Times New Roman" w:hAnsi="Times New Roman"/>
          <w:sz w:val="24"/>
          <w:szCs w:val="24"/>
        </w:rPr>
        <w:t xml:space="preserve">Three limitations deserve acknowledgment. First, the assignment of registers to specific networks is a structural homology, not a neural identity claim; further work is needed to establish whether the specific functional signatures of the networks match the specific properties Lacan attributes to the registers. Second, the Lorenz attractor parameters used in the clinical regime analysis require independent derivation or empirical calibration. Third, the sinthome’s topological status — whether it constitutes a fourth Borromean component or a functional compensatory structure — remains formally open. Future work should test the Borromean conditional independence prediction in resting-state fMRI datasets and develop the topological data analysis pipeline for symptom networks specified in companion work.</w:t>
      </w:r>
    </w:p>
    <w:p>
      <w:pPr>
        <w:spacing w:before="0" w:after="320" w:line="480" w:lineRule="auto"/>
      </w:pPr>
      <w:r>
        <w:rPr>
          <w:rFonts w:ascii="Times New Roman" w:cs="Times New Roman" w:eastAsia="Times New Roman" w:hAnsi="Times New Roman"/>
          <w:sz w:val="22"/>
          <w:szCs w:val="22"/>
        </w:rPr>
        <w:t xml:space="preserve">Data availability statement: No new datasets were created or analyzed in this study.</w:t>
      </w:r>
    </w:p>
    <w:p>
      <w:pPr>
        <w:spacing w:before="320" w:after="80" w:line="480" w:lineRule="auto"/>
      </w:pPr>
      <w:r>
        <w:rPr>
          <w:rFonts w:ascii="Times New Roman" w:cs="Times New Roman" w:eastAsia="Times New Roman" w:hAnsi="Times New Roman"/>
          <w:sz w:val="22"/>
          <w:szCs w:val="22"/>
        </w:rPr>
        <w:t xml:space="preserve">Conflict of interest statement: The author declares no conflict of interest.</w:t>
      </w:r>
    </w:p>
    <w:p>
      <w:pPr>
        <w:spacing w:before="480" w:after="200" w:line="480" w:lineRule="auto"/>
      </w:pPr>
      <w:r>
        <w:rPr>
          <w:rFonts w:ascii="Times New Roman" w:cs="Times New Roman" w:eastAsia="Times New Roman" w:hAnsi="Times New Roman"/>
          <w:b/>
          <w:bCs/>
          <w:sz w:val="24"/>
          <w:szCs w:val="24"/>
        </w:rPr>
        <w:t xml:space="preserve">References</w:t>
      </w:r>
    </w:p>
    <w:p>
      <w:pPr>
        <w:spacing w:before="0" w:after="100" w:line="480" w:lineRule="auto"/>
        <w:ind w:hanging="720" w:left="720"/>
      </w:pPr>
      <w:r>
        <w:rPr>
          <w:rFonts w:ascii="Times New Roman" w:cs="Times New Roman" w:eastAsia="Times New Roman" w:hAnsi="Times New Roman"/>
          <w:sz w:val="22"/>
          <w:szCs w:val="22"/>
        </w:rPr>
        <w:t xml:space="preserve">Friston, K. J., Lawson, R., &amp; Frith, C. D. (2014). Computational psychiatry: The brain as a phantastic organ. The Lancet Psychiatry, 1(2), 148–158.</w:t>
      </w:r>
    </w:p>
    <w:p>
      <w:pPr>
        <w:spacing w:before="0" w:after="100" w:line="480" w:lineRule="auto"/>
        <w:ind w:hanging="720" w:left="720"/>
      </w:pPr>
      <w:r>
        <w:rPr>
          <w:rFonts w:ascii="Times New Roman" w:cs="Times New Roman" w:eastAsia="Times New Roman" w:hAnsi="Times New Roman"/>
          <w:sz w:val="22"/>
          <w:szCs w:val="22"/>
        </w:rPr>
        <w:t xml:space="preserve">Jones, V. F. R. (1985). A polynomial invariant for knots via von Neumann algebras. Bulletin of the American Mathematical Society, 12(1), 103–111.</w:t>
      </w:r>
    </w:p>
    <w:p>
      <w:pPr>
        <w:spacing w:before="0" w:after="100" w:line="480" w:lineRule="auto"/>
        <w:ind w:hanging="720" w:left="720"/>
      </w:pPr>
      <w:r>
        <w:rPr>
          <w:rFonts w:ascii="Times New Roman" w:cs="Times New Roman" w:eastAsia="Times New Roman" w:hAnsi="Times New Roman"/>
          <w:sz w:val="22"/>
          <w:szCs w:val="22"/>
        </w:rPr>
        <w:t xml:space="preserve">Khovanov, M. (2000). A categorification of the Jones polynomial. Duke Mathematical Journal, 101(3), 359–426.</w:t>
      </w:r>
    </w:p>
    <w:p>
      <w:pPr>
        <w:spacing w:before="0" w:after="100" w:line="480" w:lineRule="auto"/>
        <w:ind w:hanging="720" w:left="720"/>
      </w:pPr>
      <w:r>
        <w:rPr>
          <w:rFonts w:ascii="Times New Roman" w:cs="Times New Roman" w:eastAsia="Times New Roman" w:hAnsi="Times New Roman"/>
          <w:sz w:val="22"/>
          <w:szCs w:val="22"/>
        </w:rPr>
        <w:t xml:space="preserve">Lacan, J. (2018). The sinthome: The seminar of Jacques Lacan, Book XXIII (A. R. Price, Trans.; J.-A. Miller, Ed.). Polity.</w:t>
      </w:r>
    </w:p>
    <w:p>
      <w:pPr>
        <w:spacing w:before="0" w:after="100" w:line="480" w:lineRule="auto"/>
        <w:ind w:hanging="720" w:left="720"/>
      </w:pPr>
      <w:r>
        <w:rPr>
          <w:rFonts w:ascii="Times New Roman" w:cs="Times New Roman" w:eastAsia="Times New Roman" w:hAnsi="Times New Roman"/>
          <w:sz w:val="22"/>
          <w:szCs w:val="22"/>
        </w:rPr>
        <w:t xml:space="preserve">Lacan, J. (1998). On feminine sexuality: The limits of love and knowledge (B. Fink, Trans.). Norton.</w:t>
      </w:r>
    </w:p>
    <w:p>
      <w:pPr>
        <w:spacing w:before="0" w:after="100" w:line="480" w:lineRule="auto"/>
        <w:ind w:hanging="720" w:left="720"/>
      </w:pPr>
      <w:r>
        <w:rPr>
          <w:rFonts w:ascii="Times New Roman" w:cs="Times New Roman" w:eastAsia="Times New Roman" w:hAnsi="Times New Roman"/>
          <w:sz w:val="22"/>
          <w:szCs w:val="22"/>
        </w:rPr>
        <w:t xml:space="preserve">Li, L., &amp; Li, C. (2025). Formalizing Lacanian psychoanalysis through the free energy principle. Frontiers in Psychology, 16, 1574650.</w:t>
      </w:r>
    </w:p>
    <w:p>
      <w:pPr>
        <w:spacing w:before="0" w:after="100" w:line="480" w:lineRule="auto"/>
        <w:ind w:hanging="720" w:left="720"/>
      </w:pPr>
      <w:r>
        <w:rPr>
          <w:rFonts w:ascii="Times New Roman" w:cs="Times New Roman" w:eastAsia="Times New Roman" w:hAnsi="Times New Roman"/>
          <w:sz w:val="22"/>
          <w:szCs w:val="22"/>
        </w:rPr>
        <w:t xml:space="preserve">Milnor, J. (1957). Isotopy of links. In R. H. Fox (Ed.), Algebraic geometry and topology (pp. 280–306). Princeton University Press.</w:t>
      </w:r>
    </w:p>
    <w:p>
      <w:pPr>
        <w:spacing w:before="0" w:after="100" w:line="480" w:lineRule="auto"/>
        <w:ind w:hanging="720" w:left="720"/>
      </w:pPr>
      <w:r>
        <w:rPr>
          <w:rFonts w:ascii="Times New Roman" w:cs="Times New Roman" w:eastAsia="Times New Roman" w:hAnsi="Times New Roman"/>
          <w:sz w:val="22"/>
          <w:szCs w:val="22"/>
        </w:rPr>
        <w:t xml:space="preserve">Munkres, J. R. (2000). Topology (2nd ed.). Prentice Hall.</w:t>
      </w:r>
    </w:p>
    <w:p>
      <w:pPr>
        <w:spacing w:before="0" w:after="100" w:line="480" w:lineRule="auto"/>
        <w:ind w:hanging="720" w:left="720"/>
      </w:pPr>
      <w:r>
        <w:rPr>
          <w:rFonts w:ascii="Times New Roman" w:cs="Times New Roman" w:eastAsia="Times New Roman" w:hAnsi="Times New Roman"/>
          <w:sz w:val="22"/>
          <w:szCs w:val="22"/>
        </w:rPr>
        <w:t xml:space="preserve">Witten, E. (1989). Quantum field theory and the Jones polynomial. Communications in Mathematical Physics, 121(3), 351–399.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2026-05-26T10:41:30.913Z</dcterms:created>
  <dcterms:modified xsi:type="dcterms:W3CDTF">2026-05-26T10:41:30.929Z</dcterms:modified>
</cp:coreProperties>
</file>

<file path=docProps/custom.xml><?xml version="1.0" encoding="utf-8"?>
<Properties xmlns="http://schemas.openxmlformats.org/officeDocument/2006/custom-properties" xmlns:vt="http://schemas.openxmlformats.org/officeDocument/2006/docPropsVTypes"/>
</file>