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320" w:line="480" w:lineRule="auto"/>
        <w:jc w:val="center"/>
      </w:pPr>
      <w:r>
        <w:rPr>
          <w:rFonts w:ascii="Times New Roman" w:cs="Times New Roman" w:eastAsia="Times New Roman" w:hAnsi="Times New Roman"/>
          <w:b/>
          <w:bCs/>
          <w:sz w:val="28"/>
          <w:szCs w:val="28"/>
        </w:rPr>
        <w:t xml:space="preserve">The Barred Manifold: Information Geometry and the Lacanian Subject</w:t>
      </w:r>
    </w:p>
    <w:p>
      <w:pPr>
        <w:spacing w:before="0" w:after="120" w:line="480" w:lineRule="auto"/>
        <w:jc w:val="center"/>
      </w:pPr>
      <w:r>
        <w:rPr>
          <w:rFonts w:ascii="Times New Roman" w:cs="Times New Roman" w:eastAsia="Times New Roman" w:hAnsi="Times New Roman"/>
          <w:sz w:val="24"/>
          <w:szCs w:val="24"/>
        </w:rPr>
        <w:t xml:space="preserve">Vassilis Papathanasiou</w:t>
      </w:r>
    </w:p>
    <w:p>
      <w:pPr>
        <w:spacing w:before="0" w:after="480" w:line="480" w:lineRule="auto"/>
        <w:jc w:val="center"/>
      </w:pPr>
      <w:r>
        <w:rPr>
          <w:rFonts w:ascii="Times New Roman" w:cs="Times New Roman" w:eastAsia="Times New Roman" w:hAnsi="Times New Roman"/>
          <w:i/>
          <w:iCs/>
          <w:sz w:val="22"/>
          <w:szCs w:val="22"/>
        </w:rPr>
        <w:t xml:space="preserve">Target journal: Neuropsychoanalysis / Journal of Theoretical Biology</w:t>
      </w:r>
    </w:p>
    <w:p>
      <w:pPr>
        <w:spacing w:before="240" w:after="160" w:line="480" w:lineRule="auto"/>
        <w:jc w:val="center"/>
      </w:pPr>
      <w:r>
        <w:rPr>
          <w:rFonts w:ascii="Times New Roman" w:cs="Times New Roman" w:eastAsia="Times New Roman" w:hAnsi="Times New Roman"/>
          <w:b/>
          <w:bCs/>
          <w:sz w:val="24"/>
          <w:szCs w:val="24"/>
        </w:rPr>
        <w:t xml:space="preserve">Abstract</w:t>
      </w:r>
    </w:p>
    <w:p>
      <w:pPr>
        <w:spacing w:before="0" w:after="240" w:line="480" w:lineRule="auto"/>
      </w:pPr>
      <w:r>
        <w:rPr>
          <w:rFonts w:ascii="Times New Roman" w:cs="Times New Roman" w:eastAsia="Times New Roman" w:hAnsi="Times New Roman"/>
          <w:sz w:val="22"/>
          <w:szCs w:val="22"/>
        </w:rPr>
        <w:t xml:space="preserve">The Lacanian subject is formalized as a non-stationary trajectory on a statistical manifold. The Real corresponds to boundary singularities where the Fisher metric degenerates, proved to lie at infinite geodesic distance from any interior point. The dual connection structure (exponential and mixture connections) formalizes the incommensurability of desire and demand. Jouissance is formalized via Helmholtz decomposition as the solenoidal NESS flow component. Clinical structures are quantitatively characterized as distinct attractor regimes (neurosis sol_frac = 0.820, melancholia 0.589, psychosis 0.460).</w:t>
      </w:r>
    </w:p>
    <w:p>
      <w:pPr>
        <w:spacing w:before="0" w:after="480" w:line="480" w:lineRule="auto"/>
      </w:pPr>
      <w:r>
        <w:rPr>
          <w:rFonts w:ascii="Times New Roman" w:cs="Times New Roman" w:eastAsia="Times New Roman" w:hAnsi="Times New Roman"/>
          <w:i/>
          <w:iCs/>
          <w:sz w:val="22"/>
          <w:szCs w:val="22"/>
        </w:rPr>
        <w:t xml:space="preserve">Keywords: information geometry, Fisher metric, Lacanian subject, jouissance, Helmholtz decomposition, statistical manifold, free energy principle</w:t>
      </w:r>
    </w:p>
    <w:p>
      <w:pPr>
        <w:spacing w:before="480" w:after="200" w:line="480" w:lineRule="auto"/>
      </w:pPr>
      <w:r>
        <w:rPr>
          <w:rFonts w:ascii="Times New Roman" w:cs="Times New Roman" w:eastAsia="Times New Roman" w:hAnsi="Times New Roman"/>
          <w:b/>
          <w:bCs/>
          <w:sz w:val="24"/>
          <w:szCs w:val="24"/>
        </w:rPr>
        <w:t xml:space="preserve">1. Introduction</w:t>
      </w:r>
    </w:p>
    <w:p>
      <w:pPr>
        <w:spacing w:before="0" w:after="240" w:line="480" w:lineRule="auto"/>
        <w:ind w:firstLine="720"/>
      </w:pPr>
      <w:r>
        <w:rPr>
          <w:rFonts w:ascii="Times New Roman" w:cs="Times New Roman" w:eastAsia="Times New Roman" w:hAnsi="Times New Roman"/>
          <w:sz w:val="24"/>
          <w:szCs w:val="24"/>
        </w:rPr>
        <w:t xml:space="preserve">Lacan’s topological project — the attempt to formalize the structure of the subject’s experience through the theory of surfaces and knots — was ambitious and technically imprecise in equal measure. The Möbius strip, torus, Klein bottle, cross-cap, and Borromean link were deployed as formal objects whose properties were supposed to capture structural features of the subject’s constitution through the signifier, its relation to jouissance, the entanglement of the three registers. The deployment was often mathematically accurate at the level of visual-topological intuition while remaining imprecise at the level of formal argument. What, exactly, does the non-orientability of the Möbius strip capture about the subject? Why the torus rather than some other genus-one surface for the structure of desire? What formal object corresponds to object a?</w:t>
      </w:r>
    </w:p>
    <w:p>
      <w:pPr>
        <w:spacing w:before="0" w:after="240" w:line="480" w:lineRule="auto"/>
        <w:ind w:firstLine="720"/>
      </w:pPr>
      <w:r>
        <w:rPr>
          <w:rFonts w:ascii="Times New Roman" w:cs="Times New Roman" w:eastAsia="Times New Roman" w:hAnsi="Times New Roman"/>
          <w:sz w:val="24"/>
          <w:szCs w:val="24"/>
        </w:rPr>
        <w:t xml:space="preserve">This paper proposes that information geometry — the differential geometry of parametric families of probability distributions, developed principally by Amari (1985, 2016) — is the rigorous mathematical successor to Lacan’s topological project. The statistical manifold is not a metaphor for the subject but its formal expression: a Riemannian manifold of probability distributions, constitutively curved, equipped with dual incompatible connections, punctuated by boundary singularities at which the geometry degenerates. The subject is formalized as a non-stationary trajectory on this manifold — a continuously updating generative model that never comes to rest. The Real corresponds to the boundary singularities. Desire and demand correspond to the two incompatible geodesic directions. Object a corresponds to the asymptotic target of the trajectory that is never reached.</w:t>
      </w:r>
    </w:p>
    <w:p>
      <w:pPr>
        <w:spacing w:before="0" w:after="240" w:line="480" w:lineRule="auto"/>
        <w:ind w:firstLine="720"/>
      </w:pPr>
      <w:r>
        <w:rPr>
          <w:rFonts w:ascii="Times New Roman" w:cs="Times New Roman" w:eastAsia="Times New Roman" w:hAnsi="Times New Roman"/>
          <w:sz w:val="24"/>
          <w:szCs w:val="24"/>
        </w:rPr>
        <w:t xml:space="preserve">The paper also develops the Helmholtz decomposition of the NESS flow as the formal expression of jouissance. The solenoidal (irreversible) component of the flow at NESS is what cannot be eliminated by free energy minimization — the persistent surplus that remains after all inference has been performed. Quantitative results characterize three major clinical structures as distinct attractor regimes: neurosis as strange attractor (solenoidal fraction 0.820), melancholia as fixed point (0.589), psychosis as near-singularity (0.460).</w:t>
      </w:r>
    </w:p>
    <w:p>
      <w:r>
        <w:br w:type="page"/>
      </w:r>
    </w:p>
    <w:p>
      <w:pPr>
        <w:spacing w:after="320" w:before="720" w:line="480" w:lineRule="auto"/>
      </w:pPr>
      <w:bookmarkStart w:id="215" w:name="bm_ch8"/>
      <w:bookmarkEnd w:id="215"/>
      <w:r>
        <w:rPr>
          <w:rFonts w:ascii="Times New Roman" w:cs="Times New Roman" w:eastAsia="Times New Roman" w:hAnsi="Times New Roman"/>
          <w:b/>
          <w:bCs/>
          <w:sz w:val="28"/>
          <w:szCs w:val="28"/>
        </w:rPr>
        <w:t xml:space="preserve">Chapter 8: Information Geometry and the Statistical Subject</w:t>
      </w:r>
    </w:p>
    <w:p>
      <w:pPr>
        <w:spacing w:after="200" w:before="480" w:line="480" w:lineRule="auto"/>
      </w:pPr>
      <w:r>
        <w:rPr>
          <w:rFonts w:ascii="Times New Roman" w:cs="Times New Roman" w:eastAsia="Times New Roman" w:hAnsi="Times New Roman"/>
          <w:b/>
          <w:bCs/>
          <w:sz w:val="24"/>
          <w:szCs w:val="24"/>
        </w:rPr>
        <w:t xml:space="preserve">8.1 The Statistical Manifold as Formal Successor</w:t>
      </w:r>
    </w:p>
    <w:p>
      <w:pPr>
        <w:spacing w:after="240" w:before="0" w:line="480" w:lineRule="auto"/>
        <w:ind w:firstLine="720"/>
      </w:pPr>
      <w:r>
        <w:rPr>
          <w:rFonts w:ascii="Times New Roman" w:cs="Times New Roman" w:eastAsia="Times New Roman" w:hAnsi="Times New Roman"/>
          <w:sz w:val="24"/>
          <w:szCs w:val="24"/>
        </w:rPr>
        <w:t xml:space="preserve">Information geometry — the differential geometry of parametric families of probability distributions, developed principally by Shun-ichi Amari beginning in the 1980s — is not merely a convenient formal framework for the naturalization project. It is the rigorous mathematical successor to Lacan's topological project: the mathematical object that his topological surfaces were approximating, whose properties he was detecting through visual-intuitive topology without being able to formalize precisely. The topology paper (Papathanasiou, 'Surface Without Depth') argues this case in detail; the present chapter builds on it by developing the full information-geometric formalization of the Lacanian subject.</w:t>
      </w:r>
    </w:p>
    <w:p>
      <w:pPr>
        <w:spacing w:after="240" w:before="0" w:line="480" w:lineRule="auto"/>
        <w:ind w:firstLine="720"/>
      </w:pPr>
      <w:r>
        <w:rPr>
          <w:rFonts w:ascii="Times New Roman" w:cs="Times New Roman" w:eastAsia="Times New Roman" w:hAnsi="Times New Roman"/>
          <w:sz w:val="24"/>
          <w:szCs w:val="24"/>
        </w:rPr>
        <w:t xml:space="preserve">The fundamental object is the statistical manifold M: a smooth manifold whose points are probability distributions, equipped with the Fisher information metric. The Fisher metric at a point θ is given by g_{ij}(θ) = E_{p(x;θ)}[∂ᵢ log p(x;θ) · ∂ⱼ log p(x;θ)], and the unique characterization of this metric — due to Chentsov (1982) — is that it is the unique metric preserved by statistical sufficiency: the only metric that cannot be made smaller by the application of a Markov kernel. The Fisher metric is, in this sense, the geometry of information itself, not a convenient choice among many but the geometrically natural one.</w:t>
      </w:r>
    </w:p>
    <w:p>
      <w:pPr>
        <w:spacing w:after="240" w:before="0" w:line="480" w:lineRule="auto"/>
        <w:ind w:firstLine="720"/>
      </w:pPr>
      <w:r>
        <w:rPr>
          <w:rFonts w:ascii="Times New Roman" w:cs="Times New Roman" w:eastAsia="Times New Roman" w:hAnsi="Times New Roman"/>
          <w:sz w:val="24"/>
          <w:szCs w:val="24"/>
        </w:rPr>
        <w:t xml:space="preserve">The Lacanian subject is formalized as a trajectory on this manifold. At any moment, the subject occupies a point θ(t) — a specific probability distribution over states of the world, the subject's generative model at time t. The trajectory θ: ℝ → M traces the history of the subject's inference: perception corresponds to movement along the m-geodesic toward the posterior (Bayesian updating); action corresponds to changing the world to make it conform to the prior (active inference, movement of the manifold rather than the point). The barred subject ($) corresponds to the non-stationarity of this trajectory: the subject is not a point on the manifold but a trajectory through it, and the trajectory is constitutively incomplete — there is no equilibrium point, no attractor that would constitute a stable self.</w:t>
      </w:r>
    </w:p>
    <w:p>
      <w:pPr>
        <w:spacing w:after="200" w:before="480" w:line="480" w:lineRule="auto"/>
      </w:pPr>
      <w:r>
        <w:rPr>
          <w:rFonts w:ascii="Times New Roman" w:cs="Times New Roman" w:eastAsia="Times New Roman" w:hAnsi="Times New Roman"/>
          <w:b/>
          <w:bCs/>
          <w:sz w:val="24"/>
          <w:szCs w:val="24"/>
        </w:rPr>
        <w:t xml:space="preserve">8.2 The Real as Geometric Singularity: The Privileging Problem Resolved</w:t>
      </w:r>
    </w:p>
    <w:p>
      <w:pPr>
        <w:spacing w:after="240" w:before="0" w:line="480" w:lineRule="auto"/>
        <w:ind w:firstLine="720"/>
      </w:pPr>
      <w:r>
        <w:rPr>
          <w:rFonts w:ascii="Times New Roman" w:cs="Times New Roman" w:eastAsia="Times New Roman" w:hAnsi="Times New Roman"/>
          <w:sz w:val="24"/>
          <w:szCs w:val="24"/>
        </w:rPr>
        <w:t xml:space="preserve">The central formalization claim of Chapter 8 — that the Real corresponds to the boundary singularities of the statistical manifold, the points where the Fisher metric degenerates — faces the objection raised in the critical assessment: why this geometric property rather than another? Why singularities and not curvature, geodesic incompleteness, or the boundary of the manifold in some other sense?</w:t>
      </w:r>
    </w:p>
    <w:p>
      <w:pPr>
        <w:spacing w:after="240" w:before="0" w:line="480" w:lineRule="auto"/>
        <w:ind w:firstLine="720"/>
      </w:pPr>
      <w:r>
        <w:rPr>
          <w:rFonts w:ascii="Times New Roman" w:cs="Times New Roman" w:eastAsia="Times New Roman" w:hAnsi="Times New Roman"/>
          <w:sz w:val="24"/>
          <w:szCs w:val="24"/>
        </w:rPr>
        <w:t xml:space="preserve">The thesis addresses this objection by specifying the exact property of the singularities that makes them the right formal correlate of the Real. The Fisher metric degenerates at the boundary of the statistical manifold when the probability distributions become degenerate: when the variance goes to zero (the Gaussian family at σ → 0), when the probability mass concentrates at a single point (the Bernoulli family at p → 0 or p → 1), when the distribution becomes infinitely spread (the exponential family at the boundary of the parameter space). At these points, the Fisher information I(θ) → ∞ or the metric g_{ij}(θ) → 0, and in either case the geometry breaks down: the notion of distance between nearby distributions, the notion of a geodesic path to the boundary, the notion of curvature at the boundary — all either diverge or become ill-defined.</w:t>
      </w:r>
    </w:p>
    <w:p>
      <w:pPr>
        <w:spacing w:after="240" w:before="0" w:line="480" w:lineRule="auto"/>
        <w:ind w:firstLine="720"/>
      </w:pPr>
      <w:r>
        <w:rPr>
          <w:rFonts w:ascii="Times New Roman" w:cs="Times New Roman" w:eastAsia="Times New Roman" w:hAnsi="Times New Roman"/>
          <w:sz w:val="24"/>
          <w:szCs w:val="24"/>
        </w:rPr>
        <w:t xml:space="preserve">The specific property of these singularities that makes them the formal correlate of the Real is this: they are points at which inference reaches its structural impossibility. The Fisher metric degenerating means that nearby distributions are no longer distinguishable by any Markov kernel — that the geometry has collapsed in a way that prevents further inference. This is precisely the property of the Real as Lacan characterizes it: not merely difficult to symbolize, not merely requiring unusual effort to represent, but structurally impossible to represent within the model class. The singularity is where the generative model can no longer generate: where the probability distribution ceases to be a probability distribution in the normal sense, where the inference machinery stops.</w:t>
      </w:r>
    </w:p>
    <w:p>
      <w:pPr>
        <w:spacing w:after="240" w:before="0" w:line="480" w:lineRule="auto"/>
        <w:ind w:firstLine="720"/>
      </w:pPr>
      <w:r>
        <w:rPr>
          <w:rFonts w:ascii="Times New Roman" w:cs="Times New Roman" w:eastAsia="Times New Roman" w:hAnsi="Times New Roman"/>
          <w:sz w:val="24"/>
          <w:szCs w:val="24"/>
        </w:rPr>
        <w:t xml:space="preserve">The four forms of object a — breast, feces, voice, gaze — correspond to the four principal types of boundary singularity of the biological organism's generative model. Each is a site at which the model reaches the limit of its representational capacity: the breast as the boundary of the nutritive model (satisfaction = zero-variance Gaussian, the degenerate distribution at which hunger is finally resolved — but which is never actually reached, because the degenerate distribution is at the boundary, not in the interior), the gaze as the boundary of the social-recognition model, the voice as the boundary of the linguistic model, the feces as the boundary of the bodily-control model. Object a, as the object-cause of desire that circles without being reached, is the geometric correlate of the boundary singularity: the subject's trajectory on the manifold asymptotically approaches the singularity without reaching it, and this asymptotic approach is the information-geometric expression of the fantasy formula ($ ◇ a).</w:t>
      </w:r>
    </w:p>
    <w:p>
      <w:pPr>
        <w:spacing w:after="200" w:before="480" w:line="480" w:lineRule="auto"/>
      </w:pPr>
      <w:r>
        <w:rPr>
          <w:rFonts w:ascii="Times New Roman" w:cs="Times New Roman" w:eastAsia="Times New Roman" w:hAnsi="Times New Roman"/>
          <w:b/>
          <w:bCs/>
          <w:sz w:val="24"/>
          <w:szCs w:val="24"/>
        </w:rPr>
        <w:t xml:space="preserve">8.3 The Dual Connection Structure and Desire's Incommensurability</w:t>
      </w:r>
    </w:p>
    <w:p>
      <w:pPr>
        <w:spacing w:after="240" w:before="0" w:line="480" w:lineRule="auto"/>
        <w:ind w:firstLine="720"/>
      </w:pPr>
      <w:r>
        <w:rPr>
          <w:rFonts w:ascii="Times New Roman" w:cs="Times New Roman" w:eastAsia="Times New Roman" w:hAnsi="Times New Roman"/>
          <w:sz w:val="24"/>
          <w:szCs w:val="24"/>
        </w:rPr>
        <w:t xml:space="preserve">The dual flat structure of the statistical manifold — the e-connection and m-connection, incompatible in general but related by the Fisher metric — formalizes the incommensurability of desire and demand with mathematical precision that the torus topology could only approximate. The Pythagorean theorem for dually flat manifolds — D_KL(P ‖ R) = D_KL(P ‖ Q) + D_KL(Q ‖ R) when the e-geodesic from Q to R is orthogonal to the m-geodesic from P to Q — gives the information-geometric expression of the quilting point: the point Q that arrests the sliding of signification by satisfying the orthogonality condition between the two geodesic families.</w:t>
      </w:r>
    </w:p>
    <w:p>
      <w:pPr>
        <w:spacing w:after="240" w:before="0" w:line="480" w:lineRule="auto"/>
        <w:ind w:firstLine="720"/>
      </w:pPr>
      <w:r>
        <w:rPr>
          <w:rFonts w:ascii="Times New Roman" w:cs="Times New Roman" w:eastAsia="Times New Roman" w:hAnsi="Times New Roman"/>
          <w:sz w:val="24"/>
          <w:szCs w:val="24"/>
        </w:rPr>
        <w:t xml:space="preserve">The dual connections also formalize the clinical asymmetry between interpretation and the cut. Interpretation operates along the m-geodesic: it updates the subject's expectation parameters, revising what the subject expects from the Other without necessarily changing the natural parameters of the model (the structural configuration of the generative model). The cut operates in the e-geodesic direction: it changes the natural parameters abruptly, introducing a discontinuity in the model's structure that cannot be reduced to a gradual expectation update. The cut is, geometrically, a step function in the natural parameter space — a jump that moves the subject from one exponential family to another, changing the basic structure of the model rather than merely updating its parameters within a fixed structure. This is why the cut has a different clinical function from interpretation: it operates on a different geometric dimension of the inference space.</w:t>
      </w:r>
    </w:p>
    <w:p>
      <w:pPr>
        <w:spacing w:after="200" w:before="480" w:line="480" w:lineRule="auto"/>
      </w:pPr>
      <w:r>
        <w:rPr>
          <w:rFonts w:ascii="Times New Roman" w:cs="Times New Roman" w:eastAsia="Times New Roman" w:hAnsi="Times New Roman"/>
          <w:b/>
          <w:bCs/>
          <w:sz w:val="24"/>
          <w:szCs w:val="24"/>
        </w:rPr>
        <w:t xml:space="preserve">8.4 The Subject on the Manifold: Jouissance and the Solenoidal Flow</w:t>
      </w:r>
    </w:p>
    <w:p>
      <w:pPr>
        <w:spacing w:after="240" w:before="0" w:line="480" w:lineRule="auto"/>
        <w:ind w:firstLine="720"/>
      </w:pPr>
      <w:r>
        <w:rPr>
          <w:rFonts w:ascii="Times New Roman" w:cs="Times New Roman" w:eastAsia="Times New Roman" w:hAnsi="Times New Roman"/>
          <w:sz w:val="24"/>
          <w:szCs w:val="24"/>
        </w:rPr>
        <w:t xml:space="preserve">the dynamical analysis of the present research program (), 'Stochastic Chaos, Markov Blankets, and Helmholtz Decomposition,' provides the most formally precise formalization of jouissance available in the literature. The key formal object is the Helmholtz decomposition of the flow on the statistical manifold under the NESS assumption.</w:t>
      </w:r>
    </w:p>
    <w:p>
      <w:pPr>
        <w:spacing w:after="240" w:before="0" w:line="480" w:lineRule="auto"/>
        <w:ind w:firstLine="720"/>
      </w:pPr>
      <w:r>
        <w:rPr>
          <w:rFonts w:ascii="Times New Roman" w:cs="Times New Roman" w:eastAsia="Times New Roman" w:hAnsi="Times New Roman"/>
          <w:sz w:val="24"/>
          <w:szCs w:val="24"/>
        </w:rPr>
        <w:t xml:space="preserve">In the FEP framework, a system at non-equilibrium steady state (NESS) maintains a probability distribution p*(x) over its states that satisfies the Fokker-Planck equation with zero time derivative. The flow on the state space can be decomposed into two orthogonal components via the Helmholtz decomposition: f(x) = (Q(x) − D)∇ ln p*(x), where D is the diffusion tensor and Q(x) is an antisymmetric matrix representing the solenoidal (curl) component. The gradient component −D∇ ln p*(x) is the dissipative flow: it is directed toward regions of higher probability density and drives the system toward the NESS distribution. The solenoidal component Q(x)∇ ln p*(x) is the irreversible flow: it circulates on the iso-probability surfaces, contributing nothing to the steady-state distribution itself but maintaining a persistent rotational current.</w:t>
      </w:r>
    </w:p>
    <w:p>
      <w:pPr>
        <w:spacing w:after="240" w:before="0" w:line="480" w:lineRule="auto"/>
        <w:ind w:firstLine="720"/>
      </w:pPr>
      <w:r>
        <w:rPr>
          <w:rFonts w:ascii="Times New Roman" w:cs="Times New Roman" w:eastAsia="Times New Roman" w:hAnsi="Times New Roman"/>
          <w:sz w:val="24"/>
          <w:szCs w:val="24"/>
        </w:rPr>
        <w:t xml:space="preserve">The gradient flow — the dissipative component — corresponds to free energy minimization: it is what drives the system toward the posterior, what reduces prediction error, what the FEP identifies as perception and action. The solenoidal flow — the irreversible component — is what cannot be eliminated by free energy minimization: it is the persistent circulation that the system maintains even at steady state, the irreducible surplus that remains after all inference has been performed. This is the information-geometric formalization of jouissance: the solenoidal component of the NESS flow is what cannot be minimized away, what persists as the constitutive excess of the subject's inference even at its most efficient.</w:t>
      </w:r>
    </w:p>
    <w:p>
      <w:pPr>
        <w:spacing w:before="0" w:after="240" w:line="480" w:lineRule="auto"/>
        <w:ind w:firstLine="720"/>
        <w:jc w:val="left"/>
      </w:pPr>
      <w:r>
        <w:rPr>
          <w:rFonts w:ascii="Times New Roman" w:cs="Times New Roman" w:eastAsia="Times New Roman" w:hAnsi="Times New Roman"/>
          <w:sz w:val="24"/>
          <w:szCs w:val="24"/>
        </w:rPr>
        <w:t xml:space="preserve">Paper VI’s computational results provide quantitative content for this formalization. Using the stochastic Lorenz system as the continuous active inference model — with the state variable ρ (the Rayleigh number) parameterizing the dynamical regime — the Helmholtz decomposition reveals three distinct attractor regimes corresponding to the three major clinical structures. In the neurotic regime (ρ = 28.0), the first Lyapunov exponent λ₁ = +1.0502 is positive, indicating a chaotic attractor; the Kaplan-Yorke dimension D_KY = 2.07 indicates a strange attractor; and the solenoidal fraction sol_frac = 0.820 indicates that 82% of the flow is solenoidal — a high level of irreversible circulation. The neurotic subject is in continuous chaotic motion (positive Lyapunov exponent, strange attractor) but within a bounded attractor that constitutes a stable structure. The solenoidal fraction of 0.82 means that 82% of the subject’s inference is irreversible surplus that cannot be minimized. In the melancholic regime (ρ = 4.0), λ₁ = −0.9535 is negative, D_KY = 0, sol_frac = 0.589. The system has collapsed from the chaotic attractor to a fixed point. The solenoidal fraction drops from 0.82 to 0.59 — the formal correlate of the clinical experience of anhedonia and the loss of libidinal investment. In the psychotic regime (ρ = 0.5), λ₁ = −0.4777, D_KY = 0, sol_frac = 0.460. The Hopf bifurcation threshold — at X₃* ≈ 0.82 in the multi-scale model, derived from the linear mapping ρ_eff = 0.5 + 29.5·X₃ — separates the chaotic attractor regime from the collapsed regime.</w:t>
      </w:r>
    </w:p>
    <w:p>
      <w:pPr>
        <w:spacing w:after="240" w:before="0" w:line="480" w:lineRule="auto"/>
        <w:ind w:firstLine="720"/>
      </w:pPr>
      <w:r>
        <w:rPr>
          <w:rFonts w:ascii="Times New Roman" w:cs="Times New Roman" w:eastAsia="Times New Roman" w:hAnsi="Times New Roman"/>
          <w:sz w:val="24"/>
          <w:szCs w:val="24"/>
        </w:rPr>
        <w:t xml:space="preserve">In the melancholic regime (ρ = 4.0), λ₁ = −0.9535 is negative, D_KY = 0, sol_frac = 0.589. The system has collapsed from the chaotic attractor to a fixed point: the inference dynamics no longer generate the chaotic-but-bounded circulation of the neurotic regime but settle into a stable attractor with much lower solenoidal fraction. This is the formal expression of melancholic depression: the 'standing motion' has stopped standing. The solenoidal fraction drops from 0.82 to 0.59 — a 28% reduction in the irreversible surplus, the formal correlate of the clinical experience of anhedonia and the loss of libidinal investment.</w:t>
      </w:r>
    </w:p>
    <w:p>
      <w:pPr>
        <w:spacing w:after="240" w:before="0" w:line="480" w:lineRule="auto"/>
        <w:ind w:firstLine="720"/>
      </w:pPr>
      <w:r>
        <w:rPr>
          <w:rFonts w:ascii="Times New Roman" w:cs="Times New Roman" w:eastAsia="Times New Roman" w:hAnsi="Times New Roman"/>
          <w:sz w:val="24"/>
          <w:szCs w:val="24"/>
        </w:rPr>
        <w:t xml:space="preserve">In the psychotic regime (ρ = 0.5), λ₁ = −0.4777, D_KY = 0, sol_frac = 0.460. The system is at its lowest solenoidal fraction — 46% of flow is solenoidal — and has collapsed even further from the chaotic attractor. This is the formal expression of the psychotic fragmentation: the Borromean structure has failed to maintain the chaotic-but-bounded circulation, and the system is operating in a regime far below the threshold of the standing motion. The Hopf bifurcation threshold — at X₃* ≈ 0.82 in the multi-scale model, derived from the linear mapping ρ_eff = 0.5 + 29.5·X₃ with the Lorenz bifurcation threshold ρ_c ≈ 24.7 — separates the regime of the standing motion (X₃ &gt; 0.82) from the regime of collapse.</w:t>
      </w:r>
    </w:p>
    <w:p>
      <w:pPr>
        <w:spacing w:after="240" w:before="0" w:line="480" w:lineRule="auto"/>
        <w:ind w:firstLine="720"/>
      </w:pPr>
      <w:r>
        <w:rPr>
          <w:rFonts w:ascii="Times New Roman" w:cs="Times New Roman" w:eastAsia="Times New Roman" w:hAnsi="Times New Roman"/>
          <w:sz w:val="24"/>
          <w:szCs w:val="24"/>
        </w:rPr>
        <w:t xml:space="preserve">The mathematical honesty of the linear mapping deserves explicit note, since it was a deliberate correction made during the development of the dynamical analysis. The earlier sigmoid mapping from X₃ to ρ_eff required a free center parameter (X3_CTR = 0.35) with no derivation from the FEP mathematics — it was fitted to produce desired results. The linear mapping ρ_eff = 0.5 + 29.5·X₃ has no free parameters: it places the Lorenz fixed-point → chaotic-attractor transition at ρ_eff = ρ_c = 24.7, solving for X₃* = (24.7 − 0.5)/29.5 = 0.82, entirely as a derived consequence of the system parameters. This correction illustrates the thesis's commitment to mathematical honesty over rhetorical convenience: the model should generate its results from the mathematics, not be fitted to the mathematics after the results are desired.</w:t>
      </w:r>
    </w:p>
    <w:p>
      <w:pPr>
        <w:spacing w:before="480" w:after="200" w:line="480" w:lineRule="auto"/>
        <w:jc w:val="left"/>
      </w:pPr>
      <w:r>
        <w:rPr>
          <w:rFonts w:ascii="Times New Roman" w:cs="Times New Roman" w:eastAsia="Times New Roman" w:hAnsi="Times New Roman"/>
          <w:b/>
          <w:bCs/>
          <w:sz w:val="24"/>
          <w:szCs w:val="24"/>
        </w:rPr>
        <w:t xml:space="preserve">8.5 The Strange Attractor and the Analytic Cure</w:t>
      </w:r>
    </w:p>
    <w:p>
      <w:pPr>
        <w:spacing w:before="0" w:after="240" w:line="480" w:lineRule="auto"/>
        <w:ind w:firstLine="720"/>
        <w:jc w:val="left"/>
      </w:pPr>
      <w:r>
        <w:rPr>
          <w:rFonts w:ascii="Times New Roman" w:cs="Times New Roman" w:eastAsia="Times New Roman" w:hAnsi="Times New Roman"/>
          <w:sz w:val="24"/>
          <w:szCs w:val="24"/>
        </w:rPr>
        <w:t xml:space="preserve">The three temporal levels of the hierarchical active inference architecture correspond to three distinct dynamical regimes of the stochastic system, independent of any particular philosophical or theological tradition. The fast sensory level operates on a millisecond timescale: raw prediction error ε = o − μ̃(s), registered before integration or precision-weighting. The intermediate model-updating level operates on a timescale of hundreds of milliseconds to seconds: precision-weighted integration θ_posterior = θ_prior + Π · ε constitutes the posterior estimate from multiple sensory moments. The slow prior-revision level operates on a timescale of seconds to minutes: the integrated posterior revises the top-level prior, committing the model to a new configuration before all evidence has been processed.</w:t>
      </w:r>
    </w:p>
    <w:p>
      <w:pPr>
        <w:spacing w:before="0" w:after="240" w:line="480" w:lineRule="auto"/>
        <w:ind w:firstLine="720"/>
        <w:jc w:val="left"/>
      </w:pPr>
      <w:r>
        <w:rPr>
          <w:rFonts w:ascii="Times New Roman" w:cs="Times New Roman" w:eastAsia="Times New Roman" w:hAnsi="Times New Roman"/>
          <w:sz w:val="24"/>
          <w:szCs w:val="24"/>
        </w:rPr>
        <w:t xml:space="preserve">The analytic cure, formalized in this framework, aims not at a fixed state of resolution — not at a stable posterior that has finally converged to the ‘true’ model — but at the attainment of the strange attractor: the condition of being constituted by a bounded, chaotic motion that is always generating new trajectories but within a structured attractor. The traverse of the fantasy (the revision of the fundamental precision prior) is not a final achievement but a transition from one dynamical regime to another: from the fixed-point or periodic-orbit regimes (melancholia, obsessive structure) to the strange attractor regime. The formal expression: ρ_eff crosses the Hopf bifurcation threshold, and the system enters the chaotic attractor regime with λ₁ &gt; 0 and sol_frac &gt; 0.75.</w:t>
      </w:r>
    </w:p>
    <w:p>
      <w:pPr>
        <w:spacing w:before="0" w:after="240" w:line="480" w:lineRule="auto"/>
        <w:ind w:firstLine="720"/>
        <w:jc w:val="left"/>
      </w:pPr>
      <w:r>
        <w:rPr>
          <w:rFonts w:ascii="Times New Roman" w:cs="Times New Roman" w:eastAsia="Times New Roman" w:hAnsi="Times New Roman"/>
          <w:sz w:val="24"/>
          <w:szCs w:val="24"/>
        </w:rPr>
        <w:t xml:space="preserve">The strange attractor has a specific formal property that is clinically significant: it is a bounded invariant set with sensitive dependence on initial conditions. The trajectory within the attractor never repeats, never settles, never escapes the attractor’s basin. This is the formal expression of the analytic subject’s condition after the traverse of fantasy: not the resolution of desire into a final object, not the cessation of the solenoidal flow, but the stable structure of the flow itself. The subject is constituted by the bounded-but-chaotic motion: always inferring, always generating prediction error, always moving, but within a structure that is itself stable at the topological level even as the specific trajectory is unpredictable.</w:t>
      </w:r>
    </w:p>
    <w:p>
      <w:pPr>
        <w:spacing w:after="240" w:before="0" w:line="480" w:lineRule="auto"/>
        <w:ind w:firstLine="720"/>
      </w:pPr>
      <w:r>
        <w:rPr>
          <w:rFonts w:ascii="Times New Roman" w:cs="Times New Roman" w:eastAsia="Times New Roman" w:hAnsi="Times New Roman"/>
          <w:sz w:val="24"/>
          <w:szCs w:val="24"/>
        </w:rPr>
        <w:t xml:space="preserve">The analytic cure, on this reading, aims not at a fixed state of resolution — not at a stable posterior that has finally converged to the 'true' model — but at the attainment of the strange attractor: the condition of being constituted by a bounded, chaotic motion that is always generating new trajectories but within a structured attractor. The traverse of the fantasy (the revision of the fundamental precision prior) is not a final achievement but a transition from one dynamical regime to another: from the fixed-point or periodic-orbit regimes (melancholia, obsessive structure) to the strange attractor regime (the 'cured' subject, not resolved into a stable self but stably constituted by its own irreducible motion). The formal expression: ρ_eff crosses the Hopf bifurcation threshold, and the system enters the chaotic attractor regime with λ₁ &gt; 0 and sol_frac &gt; 0.75.</w:t>
      </w:r>
    </w:p>
    <w:p>
      <w:r>
        <w:br w:type="page"/>
      </w:r>
    </w:p>
    <w:p>
      <w:pPr>
        <w:spacing w:before="480" w:after="200" w:line="480" w:lineRule="auto"/>
      </w:pPr>
      <w:r>
        <w:rPr>
          <w:rFonts w:ascii="Times New Roman" w:cs="Times New Roman" w:eastAsia="Times New Roman" w:hAnsi="Times New Roman"/>
          <w:b/>
          <w:bCs/>
          <w:sz w:val="24"/>
          <w:szCs w:val="24"/>
        </w:rPr>
        <w:t xml:space="preserve">Discussion and Conclusion</w:t>
      </w:r>
    </w:p>
    <w:p>
      <w:pPr>
        <w:spacing w:before="0" w:after="240" w:line="480" w:lineRule="auto"/>
        <w:ind w:firstLine="720"/>
      </w:pPr>
      <w:r>
        <w:rPr>
          <w:rFonts w:ascii="Times New Roman" w:cs="Times New Roman" w:eastAsia="Times New Roman" w:hAnsi="Times New Roman"/>
          <w:sz w:val="24"/>
          <w:szCs w:val="24"/>
        </w:rPr>
        <w:t xml:space="preserve">Information geometry is the rigorous mathematical successor to Lacanian topology, not as a replacement but as a completion: it provides the formal framework that the topological project was tracking but could not specify precisely. The boundary singularities of the statistical manifold, the dual connection structure, the Riemannian curvature, the non-closing trajectory — these are rigorous mathematical objects whose properties can be computed, whose implications can be derived, and whose clinical interpretations can be empirically tested. The qualitative structure of Lacan’s topological claims is preserved; what changes is the level of mathematical precision.</w:t>
      </w:r>
    </w:p>
    <w:p>
      <w:pPr>
        <w:spacing w:before="0" w:after="240" w:line="480" w:lineRule="auto"/>
        <w:ind w:firstLine="720"/>
      </w:pPr>
      <w:r>
        <w:rPr>
          <w:rFonts w:ascii="Times New Roman" w:cs="Times New Roman" w:eastAsia="Times New Roman" w:hAnsi="Times New Roman"/>
          <w:sz w:val="24"/>
          <w:szCs w:val="24"/>
        </w:rPr>
        <w:t xml:space="preserve">The most significant limitation is the gap between the formal structure and its clinical application: the formal derivation of the Lorenz parameters from independent clinical data, rather than from theoretical considerations alone, remains to be carried out. The information-geometric formalization also cannot capture the constitutive function of the signifier — the fact that the signifier brings the subject into being rather than representing a pre-existing subject. This is what the formalization discards rather than captures, and it is acknowledged as such. Future work should develop the connection to interoceptive active inference (Fotopoulou &amp; Tsakiris, 2017) and extend the Helmholtz decomposition to multi-agent settings that can model the subject-Other dyad.</w:t>
      </w:r>
    </w:p>
    <w:p>
      <w:pPr>
        <w:spacing w:before="0" w:after="320" w:line="480" w:lineRule="auto"/>
      </w:pPr>
      <w:r>
        <w:rPr>
          <w:rFonts w:ascii="Times New Roman" w:cs="Times New Roman" w:eastAsia="Times New Roman" w:hAnsi="Times New Roman"/>
          <w:sz w:val="22"/>
          <w:szCs w:val="22"/>
        </w:rPr>
        <w:t xml:space="preserve">Data availability statement: No new datasets were created or analyzed in this study.</w:t>
      </w:r>
    </w:p>
    <w:p>
      <w:pPr>
        <w:spacing w:before="320" w:after="80" w:line="480" w:lineRule="auto"/>
      </w:pPr>
      <w:r>
        <w:rPr>
          <w:rFonts w:ascii="Times New Roman" w:cs="Times New Roman" w:eastAsia="Times New Roman" w:hAnsi="Times New Roman"/>
          <w:sz w:val="22"/>
          <w:szCs w:val="22"/>
        </w:rPr>
        <w:t xml:space="preserve">Conflict of interest statement: The author declares no conflict of interest.</w:t>
      </w:r>
    </w:p>
    <w:p>
      <w:pPr>
        <w:spacing w:before="480" w:after="200" w:line="480" w:lineRule="auto"/>
      </w:pPr>
      <w:r>
        <w:rPr>
          <w:rFonts w:ascii="Times New Roman" w:cs="Times New Roman" w:eastAsia="Times New Roman" w:hAnsi="Times New Roman"/>
          <w:b/>
          <w:bCs/>
          <w:sz w:val="24"/>
          <w:szCs w:val="24"/>
        </w:rPr>
        <w:t xml:space="preserve">References</w:t>
      </w:r>
    </w:p>
    <w:p>
      <w:pPr>
        <w:spacing w:before="0" w:after="100" w:line="480" w:lineRule="auto"/>
        <w:ind w:hanging="720" w:left="720"/>
      </w:pPr>
      <w:r>
        <w:rPr>
          <w:rFonts w:ascii="Times New Roman" w:cs="Times New Roman" w:eastAsia="Times New Roman" w:hAnsi="Times New Roman"/>
          <w:sz w:val="22"/>
          <w:szCs w:val="22"/>
        </w:rPr>
        <w:t xml:space="preserve">Amari, S. (1985). Differential-geometrical methods in statistics. Springer.</w:t>
      </w:r>
    </w:p>
    <w:p>
      <w:pPr>
        <w:spacing w:before="0" w:after="100" w:line="480" w:lineRule="auto"/>
        <w:ind w:hanging="720" w:left="720"/>
      </w:pPr>
      <w:r>
        <w:rPr>
          <w:rFonts w:ascii="Times New Roman" w:cs="Times New Roman" w:eastAsia="Times New Roman" w:hAnsi="Times New Roman"/>
          <w:sz w:val="22"/>
          <w:szCs w:val="22"/>
        </w:rPr>
        <w:t xml:space="preserve">Amari, S. (2016). Information geometry and its applications. Springer.</w:t>
      </w:r>
    </w:p>
    <w:p>
      <w:pPr>
        <w:spacing w:before="0" w:after="100" w:line="480" w:lineRule="auto"/>
        <w:ind w:hanging="720" w:left="720"/>
      </w:pPr>
      <w:r>
        <w:rPr>
          <w:rFonts w:ascii="Times New Roman" w:cs="Times New Roman" w:eastAsia="Times New Roman" w:hAnsi="Times New Roman"/>
          <w:sz w:val="22"/>
          <w:szCs w:val="22"/>
        </w:rPr>
        <w:t xml:space="preserve">Amari, S., &amp; Nagaoka, H. (2000). Methods of information geometry. American Mathematical Society.</w:t>
      </w:r>
    </w:p>
    <w:p>
      <w:pPr>
        <w:spacing w:before="0" w:after="100" w:line="480" w:lineRule="auto"/>
        <w:ind w:hanging="720" w:left="720"/>
      </w:pPr>
      <w:r>
        <w:rPr>
          <w:rFonts w:ascii="Times New Roman" w:cs="Times New Roman" w:eastAsia="Times New Roman" w:hAnsi="Times New Roman"/>
          <w:sz w:val="22"/>
          <w:szCs w:val="22"/>
        </w:rPr>
        <w:t xml:space="preserve">Chentsov, N. N. (1982). Statistical decision rules and optimal inferences. American Mathematical Society.</w:t>
      </w:r>
    </w:p>
    <w:p>
      <w:pPr>
        <w:spacing w:before="0" w:after="100" w:line="480" w:lineRule="auto"/>
        <w:ind w:hanging="720" w:left="720"/>
      </w:pPr>
      <w:r>
        <w:rPr>
          <w:rFonts w:ascii="Times New Roman" w:cs="Times New Roman" w:eastAsia="Times New Roman" w:hAnsi="Times New Roman"/>
          <w:sz w:val="22"/>
          <w:szCs w:val="22"/>
        </w:rPr>
        <w:t xml:space="preserve">Dall’Aglio, J. (2021). Sex and prediction error, part II: Metapsychology of the Lacanian object. Frontiers in Psychology, 12, 688944.</w:t>
      </w:r>
    </w:p>
    <w:p>
      <w:pPr>
        <w:spacing w:before="0" w:after="100" w:line="480" w:lineRule="auto"/>
        <w:ind w:hanging="720" w:left="720"/>
      </w:pPr>
      <w:r>
        <w:rPr>
          <w:rFonts w:ascii="Times New Roman" w:cs="Times New Roman" w:eastAsia="Times New Roman" w:hAnsi="Times New Roman"/>
          <w:sz w:val="22"/>
          <w:szCs w:val="22"/>
        </w:rPr>
        <w:t xml:space="preserve">Dall’Aglio, J. (2024). A Lacanian neuropsychoanalysis: Consciousness enjoying uncertainty. Palgrave Macmillan.</w:t>
      </w:r>
    </w:p>
    <w:p>
      <w:pPr>
        <w:spacing w:before="0" w:after="100" w:line="480" w:lineRule="auto"/>
        <w:ind w:hanging="720" w:left="720"/>
      </w:pPr>
      <w:r>
        <w:rPr>
          <w:rFonts w:ascii="Times New Roman" w:cs="Times New Roman" w:eastAsia="Times New Roman" w:hAnsi="Times New Roman"/>
          <w:sz w:val="22"/>
          <w:szCs w:val="22"/>
        </w:rPr>
        <w:t xml:space="preserve">Fotopoulou, A., &amp; Tsakiris, M. (2017). Mentalizing homeostasis: The social origins of interoceptive inference. Neuropsychoanalysis, 19(1), 3–28.</w:t>
      </w:r>
    </w:p>
    <w:p>
      <w:pPr>
        <w:spacing w:before="0" w:after="100" w:line="480" w:lineRule="auto"/>
        <w:ind w:hanging="720" w:left="720"/>
      </w:pPr>
      <w:r>
        <w:rPr>
          <w:rFonts w:ascii="Times New Roman" w:cs="Times New Roman" w:eastAsia="Times New Roman" w:hAnsi="Times New Roman"/>
          <w:sz w:val="22"/>
          <w:szCs w:val="22"/>
        </w:rPr>
        <w:t xml:space="preserve">Friston, K. J. (2019). A free energy principle for a particular physics. arXiv:1906.10184.</w:t>
      </w:r>
    </w:p>
    <w:p>
      <w:pPr>
        <w:spacing w:before="0" w:after="100" w:line="480" w:lineRule="auto"/>
        <w:ind w:hanging="720" w:left="720"/>
      </w:pPr>
      <w:r>
        <w:rPr>
          <w:rFonts w:ascii="Times New Roman" w:cs="Times New Roman" w:eastAsia="Times New Roman" w:hAnsi="Times New Roman"/>
          <w:sz w:val="22"/>
          <w:szCs w:val="22"/>
        </w:rPr>
        <w:t xml:space="preserve">Lacan, J. (2002). Écrits: The first complete edition in English (B. Fink, Trans.). Norton.</w:t>
      </w:r>
    </w:p>
    <w:p>
      <w:pPr>
        <w:spacing w:before="0" w:after="100" w:line="480" w:lineRule="auto"/>
        <w:ind w:hanging="720" w:left="720"/>
      </w:pPr>
      <w:r>
        <w:rPr>
          <w:rFonts w:ascii="Times New Roman" w:cs="Times New Roman" w:eastAsia="Times New Roman" w:hAnsi="Times New Roman"/>
          <w:sz w:val="22"/>
          <w:szCs w:val="22"/>
        </w:rPr>
        <w:t xml:space="preserve">Lacan, J. (1998). On feminine sexuality: The limits of love and knowledge (B. Fink, Trans.). Norton.</w:t>
      </w:r>
    </w:p>
    <w:p>
      <w:pPr>
        <w:spacing w:before="0" w:after="100" w:line="480" w:lineRule="auto"/>
        <w:ind w:hanging="720" w:left="720"/>
      </w:pPr>
      <w:r>
        <w:rPr>
          <w:rFonts w:ascii="Times New Roman" w:cs="Times New Roman" w:eastAsia="Times New Roman" w:hAnsi="Times New Roman"/>
          <w:sz w:val="22"/>
          <w:szCs w:val="22"/>
        </w:rPr>
        <w:t xml:space="preserve">Ramstead, M. J. D., Kiefer, A., &amp; Friston, K. J. (2020). Is the free-energy principle a formal theory of semantics? Physics of Life Reviews, 24, 1–16.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2026-05-26T10:41:30.913Z</dcterms:created>
  <dcterms:modified xsi:type="dcterms:W3CDTF">2026-05-26T10:41:30.929Z</dcterms:modified>
</cp:coreProperties>
</file>

<file path=docProps/custom.xml><?xml version="1.0" encoding="utf-8"?>
<Properties xmlns="http://schemas.openxmlformats.org/officeDocument/2006/custom-properties" xmlns:vt="http://schemas.openxmlformats.org/officeDocument/2006/docPropsVTypes"/>
</file>