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20" w:line="480" w:lineRule="auto"/>
        <w:jc w:val="center"/>
      </w:pPr>
      <w:r>
        <w:rPr>
          <w:rFonts w:ascii="Times New Roman" w:cs="Times New Roman" w:eastAsia="Times New Roman" w:hAnsi="Times New Roman"/>
          <w:b/>
          <w:bCs/>
          <w:sz w:val="28"/>
          <w:szCs w:val="28"/>
        </w:rPr>
        <w:t xml:space="preserve">The Formulas of Sexuation in ZFC Set Theory and Homotopy Type Theory</w:t>
      </w:r>
    </w:p>
    <w:p>
      <w:pPr>
        <w:spacing w:before="0" w:after="120" w:line="480" w:lineRule="auto"/>
        <w:jc w:val="center"/>
      </w:pPr>
      <w:r>
        <w:rPr>
          <w:rFonts w:ascii="Times New Roman" w:cs="Times New Roman" w:eastAsia="Times New Roman" w:hAnsi="Times New Roman"/>
          <w:sz w:val="24"/>
          <w:szCs w:val="24"/>
        </w:rPr>
        <w:t xml:space="preserve">Vassilis Papathanasiou</w:t>
      </w:r>
    </w:p>
    <w:p>
      <w:pPr>
        <w:spacing w:before="0" w:after="480" w:line="480" w:lineRule="auto"/>
        <w:jc w:val="center"/>
      </w:pPr>
      <w:r>
        <w:rPr>
          <w:rFonts w:ascii="Times New Roman" w:cs="Times New Roman" w:eastAsia="Times New Roman" w:hAnsi="Times New Roman"/>
          <w:i/>
          <w:iCs/>
          <w:sz w:val="22"/>
          <w:szCs w:val="22"/>
        </w:rPr>
        <w:t xml:space="preserve">Target journal: Journal of the American Psychoanalytic Association</w:t>
      </w:r>
    </w:p>
    <w:p>
      <w:pPr>
        <w:spacing w:before="240" w:after="160" w:line="480" w:lineRule="auto"/>
        <w:jc w:val="center"/>
      </w:pPr>
      <w:r>
        <w:rPr>
          <w:rFonts w:ascii="Times New Roman" w:cs="Times New Roman" w:eastAsia="Times New Roman" w:hAnsi="Times New Roman"/>
          <w:b/>
          <w:bCs/>
          <w:sz w:val="24"/>
          <w:szCs w:val="24"/>
        </w:rPr>
        <w:t xml:space="preserve">Abstract</w:t>
      </w:r>
    </w:p>
    <w:p>
      <w:pPr>
        <w:spacing w:before="0" w:after="240" w:line="480" w:lineRule="auto"/>
      </w:pPr>
      <w:r>
        <w:rPr>
          <w:rFonts w:ascii="Times New Roman" w:cs="Times New Roman" w:eastAsia="Times New Roman" w:hAnsi="Times New Roman"/>
          <w:sz w:val="22"/>
          <w:szCs w:val="22"/>
        </w:rPr>
        <w:t xml:space="preserve">The Lacanian formulas of sexuation receive a dual formal treatment. A ZFC set-theoretic explication formalizes the masculine position as a well-founded set grounded by its founding exception and the feminine position as a proper class. A Homotopy Type Theory explication formalizes the masculine position as a mere set (trivial identity type) and the feminine position as a higher groupoid (non-trivial homotopy). Both vindicate Copjec’s anti-classificatory reading: the formulas specify structural modes of impossibility in the subject’s relation to the symbolic order, not classificatory predicates over persons. The HoTT formalization follows from the Univalence Axiom. Connections to Soler’s account of feminine jouissance and Butler’s gender critique are developed.</w:t>
      </w:r>
    </w:p>
    <w:p>
      <w:pPr>
        <w:spacing w:before="0" w:after="480" w:line="480" w:lineRule="auto"/>
      </w:pPr>
      <w:r>
        <w:rPr>
          <w:rFonts w:ascii="Times New Roman" w:cs="Times New Roman" w:eastAsia="Times New Roman" w:hAnsi="Times New Roman"/>
          <w:i/>
          <w:iCs/>
          <w:sz w:val="22"/>
          <w:szCs w:val="22"/>
        </w:rPr>
        <w:t xml:space="preserve">Keywords: formulas of sexuation, ZFC set theory, homotopy type theory, Lacan, Copjec, pas-tout, proper class, Univalence Axiom</w:t>
      </w:r>
    </w:p>
    <w:p>
      <w:pPr>
        <w:spacing w:before="480" w:after="200" w:line="480" w:lineRule="auto"/>
      </w:pPr>
      <w:r>
        <w:rPr>
          <w:rFonts w:ascii="Times New Roman" w:cs="Times New Roman" w:eastAsia="Times New Roman" w:hAnsi="Times New Roman"/>
          <w:b/>
          <w:bCs/>
          <w:sz w:val="24"/>
          <w:szCs w:val="24"/>
        </w:rPr>
        <w:t xml:space="preserve">1. Introduction</w:t>
      </w:r>
    </w:p>
    <w:p>
      <w:pPr>
        <w:spacing w:before="0" w:after="240" w:line="480" w:lineRule="auto"/>
        <w:ind w:firstLine="720"/>
      </w:pPr>
      <w:r>
        <w:rPr>
          <w:rFonts w:ascii="Times New Roman" w:cs="Times New Roman" w:eastAsia="Times New Roman" w:hAnsi="Times New Roman"/>
          <w:sz w:val="24"/>
          <w:szCs w:val="24"/>
        </w:rPr>
        <w:t xml:space="preserve">Lacan’s formulas of sexuation — the four quantificational expressions that constitute his ‘Table of Sexuation’ in Seminar XX — are among the most formally ambitious and most contested elements of his theoretical corpus. Despite their explicit logical notation, they have resisted adequate formal treatment. The dominant tradition of Lacanian commentary has read them as metaphors, structural diagrams, or philosophical provocations rather than as genuine logical claims. A minority tradition, initiated by Copjec’s ‘Sex and the Euthanasia of Reason’ (1994), has insisted on their properly logical character — specifically, on their function as specifications of the subject’s structural relation to the symbolic law rather than as classificatory predicates over persons. The present paper vindicates and extends the Copjecian reading by providing the first rigorous formal treatment of the formulas in two distinct but complementary mathematical frameworks.</w:t>
      </w:r>
    </w:p>
    <w:p>
      <w:pPr>
        <w:spacing w:before="0" w:after="240" w:line="480" w:lineRule="auto"/>
        <w:ind w:firstLine="720"/>
      </w:pPr>
      <w:r>
        <w:rPr>
          <w:rFonts w:ascii="Times New Roman" w:cs="Times New Roman" w:eastAsia="Times New Roman" w:hAnsi="Times New Roman"/>
          <w:sz w:val="24"/>
          <w:szCs w:val="24"/>
        </w:rPr>
        <w:t xml:space="preserve">The ZFC set-theoretic formalization formalizes the masculine position as a well-founded set grounded by its founding exception, and the feminine position as a proper class — a predicate-extension too large or constitutively structured in a way that prevents its totalisation into a set. The Homotopy Type Theory formalization provides a deeper structural account: the masculine position is a mere set in the HoTT sense (trivial identity type, at most one proof of identity between any two elements), while the feminine position is a higher groupoid (non-trivial homotopy, multiple inequivalent proofs of identity). The Univalence Axiom — equivalent types are identical — then implies that the two positions are genuinely distinct types rather than sub-types of a common genus. Both formalizations independently vindicate Copjec’s anti-classificatory reading.</w:t>
      </w:r>
    </w:p>
    <w:p>
      <w:pPr>
        <w:spacing w:before="0" w:after="240" w:line="480" w:lineRule="auto"/>
        <w:ind w:firstLine="720"/>
      </w:pPr>
      <w:r>
        <w:rPr>
          <w:rFonts w:ascii="Times New Roman" w:cs="Times New Roman" w:eastAsia="Times New Roman" w:hAnsi="Times New Roman"/>
          <w:sz w:val="24"/>
          <w:szCs w:val="24"/>
        </w:rPr>
        <w:t xml:space="preserve">The paper proceeds as follows. Section 2 reviews the formulas and situates them within the debate between classificatory and structural readings, engaging Copjec (1994), Soler (2006), and Butler (1990). Section 3 develops the ZFC formalization. Section 4 executes the HoTT formalization. Section 5 connects the two formalizations and draws clinical and philosophical implications. Section 6 concludes.</w:t>
      </w:r>
    </w:p>
    <w:p>
      <w:r>
        <w:br w:type="page"/>
      </w:r>
    </w:p>
    <w:p>
      <w:pPr>
        <w:spacing w:after="320" w:before="720" w:line="480" w:lineRule="auto"/>
      </w:pPr>
      <w:bookmarkStart w:id="210" w:name="bm_ch5"/>
      <w:bookmarkEnd w:id="210"/>
      <w:r>
        <w:rPr>
          <w:rFonts w:ascii="Times New Roman" w:cs="Times New Roman" w:eastAsia="Times New Roman" w:hAnsi="Times New Roman"/>
          <w:b/>
          <w:bCs/>
          <w:sz w:val="28"/>
          <w:szCs w:val="28"/>
        </w:rPr>
        <w:t xml:space="preserve">Chapter 5: The Formulas of Sexuation</w:t>
      </w:r>
    </w:p>
    <w:p>
      <w:pPr>
        <w:spacing w:after="200" w:before="480" w:line="480" w:lineRule="auto"/>
      </w:pPr>
      <w:r>
        <w:rPr>
          <w:rFonts w:ascii="Times New Roman" w:cs="Times New Roman" w:eastAsia="Times New Roman" w:hAnsi="Times New Roman"/>
          <w:b/>
          <w:bCs/>
          <w:sz w:val="24"/>
          <w:szCs w:val="24"/>
        </w:rPr>
        <w:t xml:space="preserve">5.1 Copjec's Reading and the Anti-Classificatory Thesis</w:t>
      </w:r>
    </w:p>
    <w:p>
      <w:pPr>
        <w:spacing w:after="240" w:before="0" w:line="480" w:lineRule="auto"/>
        <w:ind w:firstLine="720"/>
      </w:pPr>
      <w:r>
        <w:rPr>
          <w:rFonts w:ascii="Times New Roman" w:cs="Times New Roman" w:eastAsia="Times New Roman" w:hAnsi="Times New Roman"/>
          <w:sz w:val="24"/>
          <w:szCs w:val="24"/>
        </w:rPr>
        <w:t xml:space="preserve">Joan Copjec's reading of the formulas of sexuation in 'Sex and the Euthanasia of Reason' (Read My Desire, MIT Press, 1994, pp. 201–236) is the most rigorous existing interpretation and the thesis's primary interlocutor on this material. Copjec's central claim, against both the dominant structuralist reading and Žižek's Hegelian development, is that the formulas do not classify persons or define categories of subjects. They specify structural modes of impossibility in the subject's relation to the symbolic order: 'Male and female, like being, are not predicates, which means that rather than increasing our knowledge of the subject, they qualify the mode of the failure of our knowledge' (Copjec 1994, p. 212).</w:t>
      </w:r>
    </w:p>
    <w:p>
      <w:pPr>
        <w:spacing w:after="240" w:before="0" w:line="480" w:lineRule="auto"/>
        <w:ind w:firstLine="720"/>
      </w:pPr>
      <w:r>
        <w:rPr>
          <w:rFonts w:ascii="Times New Roman" w:cs="Times New Roman" w:eastAsia="Times New Roman" w:hAnsi="Times New Roman"/>
          <w:sz w:val="24"/>
          <w:szCs w:val="24"/>
        </w:rPr>
        <w:t xml:space="preserve">Sex, on this reading, is 'the stumbling block of sense' (p. 204) — not a meaning that is unstable or incomplete (the Butlerian reading), but the internal limit of signification as such, the point at which the symbolic order encounters its own constitutive impossibility. The distinction is precise: for Butler, sex is a signification that can be re-signified, whose instability is the resource of political transformation. For Copjec (following Lacan), sex is the failure of signification — not a signification that fails but the structural condition that makes every signification a failure at some level.</w:t>
      </w:r>
    </w:p>
    <w:p>
      <w:pPr>
        <w:spacing w:after="240" w:before="0" w:line="480" w:lineRule="auto"/>
        <w:ind w:firstLine="720"/>
      </w:pPr>
      <w:r>
        <w:rPr>
          <w:rFonts w:ascii="Times New Roman" w:cs="Times New Roman" w:eastAsia="Times New Roman" w:hAnsi="Times New Roman"/>
          <w:sz w:val="24"/>
          <w:szCs w:val="24"/>
        </w:rPr>
        <w:t xml:space="preserve">The formulas of sexuation, in Copjec's reading, instantiate the structure of Kantian antinomies applied to the subject's relation to the symbolic law. The masculine side instantiates the dynamical antinomy: the universal (∀x.Φx) is grounded by the particular exception (∃x.¬Φx), analogous to the antinomy of causality and freedom in which the empirical chain of causes is grounded by a first cause outside the causal series. The feminine side instantiates the mathematical antinomy: the pas-tout (¬∀x.Φx) without a founding exception (¬∃x.¬Φx), analogous to the antinomy of the world's finitude/infinitude in which the regress of phenomena has no natural term but also no completed totality.</w:t>
      </w:r>
    </w:p>
    <w:p>
      <w:pPr>
        <w:spacing w:after="240" w:before="0" w:line="480" w:lineRule="auto"/>
        <w:ind w:firstLine="720"/>
      </w:pPr>
      <w:r>
        <w:rPr>
          <w:rFonts w:ascii="Times New Roman" w:cs="Times New Roman" w:eastAsia="Times New Roman" w:hAnsi="Times New Roman"/>
          <w:sz w:val="24"/>
          <w:szCs w:val="24"/>
        </w:rPr>
        <w:t xml:space="preserve">The thesis's ZFC formalization must be evaluated against Copjec's anti-classificatory reading, and the verdict is this: the ZFC formalization preserves the anti-classificatory character of the formulas if and only if it is understood as specifying structural modes of incompleteness rather than membership criteria for classes of subjects. The masculine side as well-founded set — constituted by a founding exception that grounds the universal — and the feminine side as proper class — a predicate that cannot be completed into a set — do not classify subjects into 'masculine' and 'feminine' types. They specify two structurally different relations to the symbolic order that any subject can occupy relative to specific registers of experience.</w:t>
      </w:r>
    </w:p>
    <w:p>
      <w:pPr>
        <w:spacing w:after="200" w:before="480" w:line="480" w:lineRule="auto"/>
      </w:pPr>
      <w:r>
        <w:rPr>
          <w:rFonts w:ascii="Times New Roman" w:cs="Times New Roman" w:eastAsia="Times New Roman" w:hAnsi="Times New Roman"/>
          <w:b/>
          <w:bCs/>
          <w:sz w:val="24"/>
          <w:szCs w:val="24"/>
        </w:rPr>
        <w:t xml:space="preserve">5.2 The ZFC Formalization: Completing the Argument</w:t>
      </w:r>
    </w:p>
    <w:p>
      <w:pPr>
        <w:spacing w:after="240" w:before="0" w:line="480" w:lineRule="auto"/>
        <w:ind w:firstLine="720"/>
      </w:pPr>
      <w:r>
        <w:rPr>
          <w:rFonts w:ascii="Times New Roman" w:cs="Times New Roman" w:eastAsia="Times New Roman" w:hAnsi="Times New Roman"/>
          <w:sz w:val="24"/>
          <w:szCs w:val="24"/>
        </w:rPr>
        <w:t xml:space="preserve">The formalization proposed in the companion paper (Papathanasiou, 'The Pas-Tout as Proper Class') and summarized here for the thesis is the following. The phallic function Φ(x) is the formal predicate 'x is subject to the phallic function' — subject to the symbolic law, inscribed in the order of signification as the condition of desire. The set of all x satisfying Φ(x) — call it Φ = {x : Φ(x)} — is the formal object whose structure the sexuation formulas characterize.</w:t>
      </w:r>
    </w:p>
    <w:p>
      <w:pPr>
        <w:spacing w:after="240" w:before="0" w:line="480" w:lineRule="auto"/>
        <w:ind w:firstLine="720"/>
      </w:pPr>
      <w:r>
        <w:rPr>
          <w:rFonts w:ascii="Times New Roman" w:cs="Times New Roman" w:eastAsia="Times New Roman" w:hAnsi="Times New Roman"/>
          <w:sz w:val="24"/>
          <w:szCs w:val="24"/>
        </w:rPr>
        <w:t xml:space="preserve">On the masculine side: the existential exception (∃x.¬Φx) provides the element e ∉ Φ whose existence grounds the universal (∀x.Φx). In ZFC terms, this grounding relation is captured by the Axiom of Foundation (or Regularity): every non-empty set contains an element disjoint from itself, providing the foundational element that prevents infinite regress. The masculine set Φ_M is a well-founded set whose membership is grounded by the founding exception e: e is the element that makes the totalization possible by standing outside it. The universal holds because of the exception: without e, the set cannot close; with e outside it, the set is bounded and complete.</w:t>
      </w:r>
    </w:p>
    <w:p>
      <w:pPr>
        <w:spacing w:after="240" w:before="0" w:line="480" w:lineRule="auto"/>
        <w:ind w:firstLine="720"/>
      </w:pPr>
      <w:r>
        <w:rPr>
          <w:rFonts w:ascii="Times New Roman" w:cs="Times New Roman" w:eastAsia="Times New Roman" w:hAnsi="Times New Roman"/>
          <w:sz w:val="24"/>
          <w:szCs w:val="24"/>
        </w:rPr>
        <w:t xml:space="preserve">On the feminine side: the pas-tout (¬∀x.Φx) states that Φ_F does not form a completed totality, while the non-existence of the exception (¬∃x.¬Φx) states that there is no founding element outside Φ_F to ground its closure. In ZFC terms, this is the structure of a proper class: a collection defined by a first-order predicate that is too large or structurally constituted in such a way that it cannot be completed into a set without generating contradiction. The proper class V of all sets, the proper class Ord of all ordinals — these are not deficient sets but genuinely different kinds of mathematical objects: real and determinate as predicates but non-totalizable as sets.</w:t>
      </w:r>
    </w:p>
    <w:p>
      <w:pPr>
        <w:spacing w:after="240" w:before="0" w:line="480" w:lineRule="auto"/>
        <w:ind w:firstLine="720"/>
      </w:pPr>
      <w:r>
        <w:rPr>
          <w:rFonts w:ascii="Times New Roman" w:cs="Times New Roman" w:eastAsia="Times New Roman" w:hAnsi="Times New Roman"/>
          <w:sz w:val="24"/>
          <w:szCs w:val="24"/>
        </w:rPr>
        <w:t xml:space="preserve">The philosophical significance, which the ZFC formalization makes precise, is that the feminine position is not a deficient masculinity — not a masculinity without a grounding exception — but a structurally different mode of incompleteness. A proper class is not a failed set; it is a mathematical object of a different type, with different properties and different relations to the ZFC axioms. The feminine position, formally, is not the absence of what the masculine position has but the presence of a different structural mode: the mode of the pas-tout, the irreducible non-totalizability of a predicate that has no outside to bound it.</w:t>
      </w:r>
    </w:p>
    <w:p>
      <w:pPr>
        <w:spacing w:after="200" w:before="480" w:line="480" w:lineRule="auto"/>
      </w:pPr>
      <w:r>
        <w:rPr>
          <w:rFonts w:ascii="Times New Roman" w:cs="Times New Roman" w:eastAsia="Times New Roman" w:hAnsi="Times New Roman"/>
          <w:b/>
          <w:bCs/>
          <w:sz w:val="24"/>
          <w:szCs w:val="24"/>
        </w:rPr>
        <w:t xml:space="preserve">5.3 The HoTT Extension: Executing the Formalization</w:t>
      </w:r>
    </w:p>
    <w:p>
      <w:pPr>
        <w:spacing w:after="240" w:before="0" w:line="480" w:lineRule="auto"/>
        <w:ind w:firstLine="720"/>
      </w:pPr>
      <w:r>
        <w:rPr>
          <w:rFonts w:ascii="Times New Roman" w:cs="Times New Roman" w:eastAsia="Times New Roman" w:hAnsi="Times New Roman"/>
          <w:sz w:val="24"/>
          <w:szCs w:val="24"/>
        </w:rPr>
        <w:t xml:space="preserve">The Homotopy Type Theory extension of the sexuation formalization is executed in the following. The formal framework is the Univalent Foundations program (Univalent Foundations Program 2013), in which types replace sets as the fundamental objects and homotopy-theoretic structure replaces set-membership as the organizing relation.</w:t>
      </w:r>
    </w:p>
    <w:p>
      <w:pPr>
        <w:spacing w:after="240" w:before="0" w:line="480" w:lineRule="auto"/>
        <w:ind w:firstLine="720"/>
      </w:pPr>
      <w:r>
        <w:rPr>
          <w:rFonts w:ascii="Times New Roman" w:cs="Times New Roman" w:eastAsia="Times New Roman" w:hAnsi="Times New Roman"/>
          <w:sz w:val="24"/>
          <w:szCs w:val="24"/>
        </w:rPr>
        <w:t xml:space="preserve">In HoTT, a type A is said to be a set (in the HoTT sense, also called an h-set or 0-type) if its identity type Id_A(a, b) is a mere proposition for all elements a, b ∈ A: there is at most one way in which any two elements of A are identical, and this way is either inhabited (the elements are identical) or not (they are not). A type with this property is called a mere set in HoTT; it corresponds to the classical notion of a set in which elements are simply equal or not equal.</w:t>
      </w:r>
    </w:p>
    <w:p>
      <w:pPr>
        <w:spacing w:after="240" w:before="0" w:line="480" w:lineRule="auto"/>
        <w:ind w:firstLine="720"/>
      </w:pPr>
      <w:r>
        <w:rPr>
          <w:rFonts w:ascii="Times New Roman" w:cs="Times New Roman" w:eastAsia="Times New Roman" w:hAnsi="Times New Roman"/>
          <w:sz w:val="24"/>
          <w:szCs w:val="24"/>
        </w:rPr>
        <w:t xml:space="preserve">Types with richer identity structure are called higher types or h-groupoids. An h-groupoid of level n has non-trivial identity paths up to level n: not only can elements be equal or not, but equalities themselves can be equal or not, and so on up to level n. The simplest non-trivial case is the h-groupoid of level 1 (also called a 1-groupoid): its identity type Id_A(a, b) can have multiple non-equivalent inhabitants, meaning that there can be multiple inequivalent ways in which two elements are 'the same'.</w:t>
      </w:r>
    </w:p>
    <w:p>
      <w:pPr>
        <w:spacing w:after="240" w:before="0" w:line="480" w:lineRule="auto"/>
        <w:ind w:firstLine="720"/>
      </w:pPr>
      <w:r>
        <w:rPr>
          <w:rFonts w:ascii="Times New Roman" w:cs="Times New Roman" w:eastAsia="Times New Roman" w:hAnsi="Times New Roman"/>
          <w:sz w:val="24"/>
          <w:szCs w:val="24"/>
        </w:rPr>
        <w:t xml:space="preserve">The masculine position, in HoTT terms, corresponds to a mere set: a type whose identity structure is trivial, whose elements are simply equal or not. The founding exception provides the canonical element from which all others are measured: equality in Φ_M is simple, bounded, grounded by the reference element. The universal holds because the type has a determinate identity structure — there is always a fact of the matter about whether two elements are equal.</w:t>
      </w:r>
    </w:p>
    <w:p>
      <w:pPr>
        <w:spacing w:after="240" w:before="0" w:line="480" w:lineRule="auto"/>
        <w:ind w:firstLine="720"/>
      </w:pPr>
      <w:r>
        <w:rPr>
          <w:rFonts w:ascii="Times New Roman" w:cs="Times New Roman" w:eastAsia="Times New Roman" w:hAnsi="Times New Roman"/>
          <w:sz w:val="24"/>
          <w:szCs w:val="24"/>
        </w:rPr>
        <w:t xml:space="preserve">The feminine position corresponds to a higher groupoid: a type whose identity structure is non-trivial, in which there can be multiple inequivalent ways in which elements are 'the same.' The pas-tout, in HoTT terms, is the statement that the type Φ_F is not a mere set: its identity structure has non-trivial homotopy, and the question of whether two elements are 'the same' does not have a simple yes-or-no answer but involves a genuine richness of paths between them. The non-existence of the founding exception means that there is no canonical reference point from which equality is measured: the identity structure is intrinsically multiple.</w:t>
      </w:r>
    </w:p>
    <w:p>
      <w:pPr>
        <w:spacing w:after="240" w:before="0" w:line="480" w:lineRule="auto"/>
        <w:ind w:firstLine="720"/>
      </w:pPr>
      <w:r>
        <w:rPr>
          <w:rFonts w:ascii="Times New Roman" w:cs="Times New Roman" w:eastAsia="Times New Roman" w:hAnsi="Times New Roman"/>
          <w:sz w:val="24"/>
          <w:szCs w:val="24"/>
        </w:rPr>
        <w:t xml:space="preserve">The Univalence Axiom — (A ≃ B) ≃ (A = B), equivalent types are identical — provides the formal basis for the claim that the masculine and feminine positions are not two instantiations of a single underlying type but genuinely different types that cannot be unified by a single equivalence relation. Two types are equivalent (≃) if there is a homotopy equivalence between them — a continuous map with a continuous inverse. If Φ_M and Φ_F are not homotopy-equivalent (and the thesis argues they are not, precisely because one is a mere set and the other is a higher groupoid), then univalence implies they are not identical. The masculine and feminine positions are, formally, genuinely different types — not sub-types of a single universal type, not different manifestations of the same underlying structure, but types with different homotopy-theoretic structure that cannot be unified.</w:t>
      </w:r>
    </w:p>
    <w:p>
      <w:pPr>
        <w:spacing w:after="240" w:before="0" w:line="480" w:lineRule="auto"/>
        <w:ind w:firstLine="720"/>
      </w:pPr>
      <w:r>
        <w:rPr>
          <w:rFonts w:ascii="Times New Roman" w:cs="Times New Roman" w:eastAsia="Times New Roman" w:hAnsi="Times New Roman"/>
          <w:sz w:val="24"/>
          <w:szCs w:val="24"/>
        </w:rPr>
        <w:t xml:space="preserve">This is the HoTT vindication of Copjec's anti-classificatory reading: the formulas of sexuation do not classify subjects into two types of the same kind (masculine and feminine as two sub-types of 'subject') but specify two genuinely different kinds of type — two different modes of relation to identity and totality — that any subject can instantiate relative to specific registers of experience.</w:t>
      </w:r>
    </w:p>
    <w:p>
      <w:pPr>
        <w:spacing w:after="200" w:before="480" w:line="480" w:lineRule="auto"/>
      </w:pPr>
      <w:r>
        <w:rPr>
          <w:rFonts w:ascii="Times New Roman" w:cs="Times New Roman" w:eastAsia="Times New Roman" w:hAnsi="Times New Roman"/>
          <w:b/>
          <w:bCs/>
          <w:sz w:val="24"/>
          <w:szCs w:val="24"/>
        </w:rPr>
        <w:t xml:space="preserve">5.4 Soler on Feminine Jouissance and the Pas-Tout</w:t>
      </w:r>
    </w:p>
    <w:p>
      <w:pPr>
        <w:spacing w:after="240" w:before="0" w:line="480" w:lineRule="auto"/>
        <w:ind w:firstLine="720"/>
      </w:pPr>
      <w:r>
        <w:rPr>
          <w:rFonts w:ascii="Times New Roman" w:cs="Times New Roman" w:eastAsia="Times New Roman" w:hAnsi="Times New Roman"/>
          <w:sz w:val="24"/>
          <w:szCs w:val="24"/>
        </w:rPr>
        <w:t xml:space="preserve">Colette Soler's work on feminine jouissance (What Lacan Said About Women, Other Press, 2006) provides the clinical grounding for the formal structure developed above, and the thesis must engage it to show that the ZFC/HoTT formalization preserves what the clinic requires.</w:t>
      </w:r>
    </w:p>
    <w:p>
      <w:pPr>
        <w:spacing w:after="240" w:before="0" w:line="480" w:lineRule="auto"/>
        <w:ind w:firstLine="720"/>
      </w:pPr>
      <w:r>
        <w:rPr>
          <w:rFonts w:ascii="Times New Roman" w:cs="Times New Roman" w:eastAsia="Times New Roman" w:hAnsi="Times New Roman"/>
          <w:sz w:val="24"/>
          <w:szCs w:val="24"/>
        </w:rPr>
        <w:t xml:space="preserve">Soler's central claim is that the feminine position's relation to jouissance — what Lacan calls 'supplementary jouissance' or 'feminine jouissance' — is not a failure or deficiency relative to phallic jouissance but a genuinely different mode of enjoyment that is characterized precisely by its non-totalizability. Phallic jouissance is measurable: it is organized around the phallus as the signifier of desire, and its excess and deficit can be quantified relative to the phallic standard. Feminine jouissance is not measurable in the same sense: it is 'not-all' not because it is less than phallic jouissance but because it resists the quantitative framework that phallic jouissance installs. It is, in Soler's formulation, the jouissance of the relation to S(Ⱥ) — the signifier of the lack in the Other — which is to say, the jouissance of the Other's incompleteness rather than of any positive object.</w:t>
      </w:r>
    </w:p>
    <w:p>
      <w:pPr>
        <w:spacing w:after="240" w:before="0" w:line="480" w:lineRule="auto"/>
        <w:ind w:firstLine="720"/>
      </w:pPr>
      <w:r>
        <w:rPr>
          <w:rFonts w:ascii="Times New Roman" w:cs="Times New Roman" w:eastAsia="Times New Roman" w:hAnsi="Times New Roman"/>
          <w:sz w:val="24"/>
          <w:szCs w:val="24"/>
        </w:rPr>
        <w:t xml:space="preserve">The information-geometric formalization of this distinction is precise. Phallic jouissance corresponds to the integrated negative free energy along the subject's trajectory on the statistical manifold, organized around the boundary singularity (object a): it is measurable as the KL divergence between the current generative model and the boundary of the manifold, and this distance can be quantified in terms of the Fisher metric. Feminine jouissance corresponds to the solenoidal component of the NESS flow — the irreversible flow that constitutes the jouissance of the manifold's own incompleteness, the enjoyment of the structural gaps that resist inference. This component is irreducible (it is what remains after the gradient flow has minimized free energy as far as the structural singularities allow) and non-totalizable (there is no upper bound on the solenoidal flow in the regions of the manifold near the singularity S(Ⱥ)).</w:t>
      </w:r>
    </w:p>
    <w:p>
      <w:pPr>
        <w:spacing w:after="240" w:before="0" w:line="480" w:lineRule="auto"/>
        <w:ind w:firstLine="720"/>
      </w:pPr>
      <w:r>
        <w:rPr>
          <w:rFonts w:ascii="Times New Roman" w:cs="Times New Roman" w:eastAsia="Times New Roman" w:hAnsi="Times New Roman"/>
          <w:sz w:val="24"/>
          <w:szCs w:val="24"/>
        </w:rPr>
        <w:t xml:space="preserve">The HoTT formalization maps onto this precisely: the higher-groupoid structure of the feminine position corresponds to the non-trivial topology of the solenoidal flow near the singularity. Just as the identity paths in a higher groupoid form a non-trivial topological space (the classifying space of the groupoid), the solenoidal flow near S(Ⱥ) traces paths on the statistical manifold with non-trivial topological structure — paths that do not contract to a point, that cannot be continuously deformed into the trivial path, that constitute a genuinely higher-dimensional topology of jouissance.</w:t>
      </w:r>
    </w:p>
    <w:p>
      <w:pPr>
        <w:spacing w:after="200" w:before="480" w:line="480" w:lineRule="auto"/>
      </w:pPr>
      <w:r>
        <w:rPr>
          <w:rFonts w:ascii="Times New Roman" w:cs="Times New Roman" w:eastAsia="Times New Roman" w:hAnsi="Times New Roman"/>
          <w:b/>
          <w:bCs/>
          <w:sz w:val="24"/>
          <w:szCs w:val="24"/>
        </w:rPr>
        <w:t xml:space="preserve">5.5 Butler's Challenge and the Formal Response</w:t>
      </w:r>
    </w:p>
    <w:p>
      <w:pPr>
        <w:spacing w:after="240" w:before="0" w:line="480" w:lineRule="auto"/>
        <w:ind w:firstLine="720"/>
      </w:pPr>
      <w:r>
        <w:rPr>
          <w:rFonts w:ascii="Times New Roman" w:cs="Times New Roman" w:eastAsia="Times New Roman" w:hAnsi="Times New Roman"/>
          <w:sz w:val="24"/>
          <w:szCs w:val="24"/>
        </w:rPr>
        <w:t xml:space="preserve">Judith Butler's critique of the Lacanian formulas of sexuation — developed in Gender Trouble (1990) and Bodies That Matter (1993) — is that they install a binary structure of sexual difference as a transcendental condition of subjectivity, and thereby naturalize the heteronormative binary rather than opening it to contestation. The critique takes two forms: empirical (not all subjects fit into the masculine/feminine binary; there are subjects who occupy neither position, or who move between them) and structural (the very formalization of sexual difference as a binary condition of the symbolic order forecloses the possibility of a different symbolic order).</w:t>
      </w:r>
    </w:p>
    <w:p>
      <w:pPr>
        <w:spacing w:after="240" w:before="0" w:line="480" w:lineRule="auto"/>
        <w:ind w:firstLine="720"/>
      </w:pPr>
      <w:r>
        <w:rPr>
          <w:rFonts w:ascii="Times New Roman" w:cs="Times New Roman" w:eastAsia="Times New Roman" w:hAnsi="Times New Roman"/>
          <w:sz w:val="24"/>
          <w:szCs w:val="24"/>
        </w:rPr>
        <w:t xml:space="preserve">The thesis's response to Butler is Copjec's: the formulas do not describe the empirical distribution of gendered subjects but the structural modes of relation to the symbolic law that any subject can occupy. The masculine and feminine positions are not identities but positions — positions that can be occupied by subjects who are biologically male, female, intersex, or any other configuration, and that can be occupied differently at different registers of experience by the same subject. A subject can occupy the masculine position in its relation to the symbolic order of professional accomplishment while occupying the feminine position in its relation to jouissance; a subject can occupy the feminine position exclusively without thereby asserting any identity claim about gender.</w:t>
      </w:r>
    </w:p>
    <w:p>
      <w:pPr>
        <w:spacing w:after="240" w:before="0" w:line="480" w:lineRule="auto"/>
        <w:ind w:firstLine="720"/>
      </w:pPr>
      <w:r>
        <w:rPr>
          <w:rFonts w:ascii="Times New Roman" w:cs="Times New Roman" w:eastAsia="Times New Roman" w:hAnsi="Times New Roman"/>
          <w:sz w:val="24"/>
          <w:szCs w:val="24"/>
        </w:rPr>
        <w:t xml:space="preserve">The HoTT formalization makes this response precise. The two positions — mere-set and higher-groupoid — are type-theoretic structures, not biological or social categories. Any subject can instantiate either type-theoretic structure relative to any register of experience. The claim is not that human subjects divide into two kinds but that the relation between subjects and the symbolic order can have two different type-theoretic structures, and that these structures have the formal properties that Lacan's formulas capture. This is consistent with empirical diversity — the diversity of gendered experience — precisely because the formulas say nothing about which subjects instantiate which structure.</w:t>
      </w:r>
    </w:p>
    <w:p>
      <w:r>
        <w:br w:type="page"/>
      </w:r>
    </w:p>
    <w:p>
      <w:pPr>
        <w:spacing w:after="480" w:before="720" w:line="480" w:lineRule="auto"/>
        <w:jc w:val="center"/>
      </w:pPr>
      <w:bookmarkStart w:id="211" w:name="bm_part3"/>
      <w:bookmarkEnd w:id="211"/>
      <w:r>
        <w:rPr>
          <w:rFonts w:ascii="Times New Roman" w:cs="Times New Roman" w:eastAsia="Times New Roman" w:hAnsi="Times New Roman"/>
          <w:b/>
          <w:bCs/>
          <w:sz w:val="32"/>
          <w:szCs w:val="32"/>
        </w:rPr>
        <w:t xml:space="preserve">Part III: The Topological Formalizations</w:t>
      </w:r>
    </w:p>
    <w:p>
      <w:r>
        <w:br w:type="page"/>
      </w:r>
    </w:p>
    <w:p>
      <w:pPr>
        <w:spacing w:before="480" w:after="200" w:line="480" w:lineRule="auto"/>
      </w:pPr>
      <w:r>
        <w:rPr>
          <w:rFonts w:ascii="Times New Roman" w:cs="Times New Roman" w:eastAsia="Times New Roman" w:hAnsi="Times New Roman"/>
          <w:b/>
          <w:bCs/>
          <w:sz w:val="24"/>
          <w:szCs w:val="24"/>
        </w:rPr>
        <w:t xml:space="preserve">6. Conclusion</w:t>
      </w:r>
    </w:p>
    <w:p>
      <w:pPr>
        <w:spacing w:before="0" w:after="240" w:line="480" w:lineRule="auto"/>
        <w:ind w:firstLine="720"/>
      </w:pPr>
      <w:r>
        <w:rPr>
          <w:rFonts w:ascii="Times New Roman" w:cs="Times New Roman" w:eastAsia="Times New Roman" w:hAnsi="Times New Roman"/>
          <w:sz w:val="24"/>
          <w:szCs w:val="24"/>
        </w:rPr>
        <w:t xml:space="preserve">The formulas of sexuation are genuine logical claims about the structure of the subject’s relation to the symbolic law. The ZFC formalization makes this precise: the masculine position is the mode of relation to a symbolic order that can be totalized because it has a founding exception outside it; the feminine position is the mode of relation to a predicate-extension that cannot be totalized because it has no such exception. The HoTT formalization deepens this: masculine = trivial identity structure (one way to be the same), feminine = rich identity structure (multiple inequivalent ways to be the same). These are not descriptions of persons but of structural positions any subject can occupy relative to any register of experience.</w:t>
      </w:r>
    </w:p>
    <w:p>
      <w:pPr>
        <w:spacing w:before="0" w:after="240" w:line="480" w:lineRule="auto"/>
        <w:ind w:firstLine="720"/>
      </w:pPr>
      <w:r>
        <w:rPr>
          <w:rFonts w:ascii="Times New Roman" w:cs="Times New Roman" w:eastAsia="Times New Roman" w:hAnsi="Times New Roman"/>
          <w:sz w:val="24"/>
          <w:szCs w:val="24"/>
        </w:rPr>
        <w:t xml:space="preserve">Copjec’s interdiction stands: sex is not a predicate. The formalizations show why. In ZFC terms, the feminine position is not a failed set but a proper class — a different kind of mathematical object, not a deficient version of the masculine one. In HoTT terms, the feminine position is a higher groupoid — a type with richer identity structure, not a type with less of what the masculine type has. The formulas specify two structural modes of impossibility, not two populations. Future work should connect these formalizations to computational psychiatric models of clinical structure and to Soler’s clinical developments of the pas-tout.</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80" w:line="480" w:lineRule="auto"/>
      </w:pPr>
      <w:r>
        <w:rPr>
          <w:rFonts w:ascii="Times New Roman" w:cs="Times New Roman" w:eastAsia="Times New Roman" w:hAnsi="Times New Roman"/>
          <w:sz w:val="22"/>
          <w:szCs w:val="22"/>
        </w:rPr>
        <w:t xml:space="preserve">Conflict of interest statement: The author declares no conflict of interest.</w:t>
      </w:r>
    </w:p>
    <w:p>
      <w:pPr>
        <w:spacing w:before="480" w:after="200" w:line="480" w:lineRule="auto"/>
      </w:pPr>
      <w:r>
        <w:rPr>
          <w:rFonts w:ascii="Times New Roman" w:cs="Times New Roman" w:eastAsia="Times New Roman" w:hAnsi="Times New Roman"/>
          <w:b/>
          <w:bCs/>
          <w:sz w:val="24"/>
          <w:szCs w:val="24"/>
        </w:rPr>
        <w:t xml:space="preserve">References</w:t>
      </w:r>
    </w:p>
    <w:p>
      <w:pPr>
        <w:spacing w:before="0" w:after="100" w:line="480" w:lineRule="auto"/>
        <w:ind w:hanging="720" w:left="720"/>
      </w:pPr>
      <w:r>
        <w:rPr>
          <w:rFonts w:ascii="Times New Roman" w:cs="Times New Roman" w:eastAsia="Times New Roman" w:hAnsi="Times New Roman"/>
          <w:sz w:val="22"/>
          <w:szCs w:val="22"/>
        </w:rPr>
        <w:t xml:space="preserve">Butler, J. (1990). Gender trouble: Feminism and the subversion of identity. Routledge.</w:t>
      </w:r>
    </w:p>
    <w:p>
      <w:pPr>
        <w:spacing w:before="0" w:after="100" w:line="480" w:lineRule="auto"/>
        <w:ind w:hanging="720" w:left="720"/>
      </w:pPr>
      <w:r>
        <w:rPr>
          <w:rFonts w:ascii="Times New Roman" w:cs="Times New Roman" w:eastAsia="Times New Roman" w:hAnsi="Times New Roman"/>
          <w:sz w:val="22"/>
          <w:szCs w:val="22"/>
        </w:rPr>
        <w:t xml:space="preserve">Copjec, J. (1994). Read my desire: Lacan against the historicists. MIT Press.</w:t>
      </w:r>
    </w:p>
    <w:p>
      <w:pPr>
        <w:spacing w:before="0" w:after="100" w:line="480" w:lineRule="auto"/>
        <w:ind w:hanging="720" w:left="720"/>
      </w:pPr>
      <w:r>
        <w:rPr>
          <w:rFonts w:ascii="Times New Roman" w:cs="Times New Roman" w:eastAsia="Times New Roman" w:hAnsi="Times New Roman"/>
          <w:sz w:val="22"/>
          <w:szCs w:val="22"/>
        </w:rPr>
        <w:t xml:space="preserve">Copjec, J. (2012). The sexual compact. Angelaki, 17(2), 31–48.</w:t>
      </w:r>
    </w:p>
    <w:p>
      <w:pPr>
        <w:spacing w:before="0" w:after="100" w:line="480" w:lineRule="auto"/>
        <w:ind w:hanging="720" w:left="720"/>
      </w:pPr>
      <w:r>
        <w:rPr>
          <w:rFonts w:ascii="Times New Roman" w:cs="Times New Roman" w:eastAsia="Times New Roman" w:hAnsi="Times New Roman"/>
          <w:sz w:val="22"/>
          <w:szCs w:val="22"/>
        </w:rPr>
        <w:t xml:space="preserve">Lacan, J. (1998). On feminine sexuality: The limits of love and knowledge (B. Fink, Trans.; J.-A. Miller, Ed.). Norton. (Original work published 1975)</w:t>
      </w:r>
    </w:p>
    <w:p>
      <w:pPr>
        <w:spacing w:before="0" w:after="100" w:line="480" w:lineRule="auto"/>
        <w:ind w:hanging="720" w:left="720"/>
      </w:pPr>
      <w:r>
        <w:rPr>
          <w:rFonts w:ascii="Times New Roman" w:cs="Times New Roman" w:eastAsia="Times New Roman" w:hAnsi="Times New Roman"/>
          <w:sz w:val="22"/>
          <w:szCs w:val="22"/>
        </w:rPr>
        <w:t xml:space="preserve">Lacan, J. (2002). Écrits: The first complete edition in English (B. Fink, Trans.). Norton.</w:t>
      </w:r>
    </w:p>
    <w:p>
      <w:pPr>
        <w:spacing w:before="0" w:after="100" w:line="480" w:lineRule="auto"/>
        <w:ind w:hanging="720" w:left="720"/>
      </w:pPr>
      <w:r>
        <w:rPr>
          <w:rFonts w:ascii="Times New Roman" w:cs="Times New Roman" w:eastAsia="Times New Roman" w:hAnsi="Times New Roman"/>
          <w:sz w:val="22"/>
          <w:szCs w:val="22"/>
        </w:rPr>
        <w:t xml:space="preserve">Soler, C. (2006). What Lacan said about women: A psychoanalytic study (J. Holland, Trans.). Other Press.</w:t>
      </w:r>
    </w:p>
    <w:p>
      <w:pPr>
        <w:spacing w:before="0" w:after="100" w:line="480" w:lineRule="auto"/>
        <w:ind w:hanging="720" w:left="720"/>
      </w:pPr>
      <w:r>
        <w:rPr>
          <w:rFonts w:ascii="Times New Roman" w:cs="Times New Roman" w:eastAsia="Times New Roman" w:hAnsi="Times New Roman"/>
          <w:sz w:val="22"/>
          <w:szCs w:val="22"/>
        </w:rPr>
        <w:t xml:space="preserve">Univalent Foundations Program. (2013). Homotopy type theory: Univalent foundations of mathematics. Institute for Advanced Study.</w:t>
      </w:r>
    </w:p>
    <w:p>
      <w:pPr>
        <w:spacing w:before="0" w:after="100" w:line="480" w:lineRule="auto"/>
        <w:ind w:hanging="720" w:left="720"/>
      </w:pPr>
      <w:r>
        <w:rPr>
          <w:rFonts w:ascii="Times New Roman" w:cs="Times New Roman" w:eastAsia="Times New Roman" w:hAnsi="Times New Roman"/>
          <w:sz w:val="22"/>
          <w:szCs w:val="22"/>
        </w:rPr>
        <w:t xml:space="preserve">Zupānčič, A. (2017). What is sex?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