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320" w:line="480" w:lineRule="auto"/>
        <w:jc w:val="center"/>
      </w:pPr>
      <w:r>
        <w:rPr>
          <w:rFonts w:ascii="Times New Roman" w:cs="Times New Roman" w:eastAsia="Times New Roman" w:hAnsi="Times New Roman"/>
          <w:b/>
          <w:bCs/>
          <w:sz w:val="28"/>
          <w:szCs w:val="28"/>
        </w:rPr>
        <w:t xml:space="preserve">Symptom Networks as Free-Energy Landscapes: Network Psychopathology and Active Inference</w:t>
      </w:r>
    </w:p>
    <w:p>
      <w:pPr>
        <w:spacing w:before="0" w:after="120" w:line="480" w:lineRule="auto"/>
        <w:jc w:val="center"/>
      </w:pPr>
      <w:r>
        <w:rPr>
          <w:rFonts w:ascii="Times New Roman" w:cs="Times New Roman" w:eastAsia="Times New Roman" w:hAnsi="Times New Roman"/>
          <w:sz w:val="24"/>
          <w:szCs w:val="24"/>
        </w:rPr>
        <w:t xml:space="preserve">Vassilis Papathanasiou</w:t>
      </w:r>
    </w:p>
    <w:p>
      <w:pPr>
        <w:spacing w:before="0" w:after="480" w:line="480" w:lineRule="auto"/>
        <w:jc w:val="center"/>
      </w:pPr>
      <w:r>
        <w:rPr>
          <w:rFonts w:ascii="Times New Roman" w:cs="Times New Roman" w:eastAsia="Times New Roman" w:hAnsi="Times New Roman"/>
          <w:i/>
          <w:iCs/>
          <w:sz w:val="22"/>
          <w:szCs w:val="22"/>
        </w:rPr>
        <w:t xml:space="preserve">Target journal: PsyArXiv (preprint) / Psychological Review</w:t>
      </w:r>
    </w:p>
    <w:p>
      <w:pPr>
        <w:spacing w:before="240" w:after="160" w:line="480" w:lineRule="auto"/>
        <w:jc w:val="center"/>
      </w:pPr>
      <w:r>
        <w:rPr>
          <w:rFonts w:ascii="Times New Roman" w:cs="Times New Roman" w:eastAsia="Times New Roman" w:hAnsi="Times New Roman"/>
          <w:b/>
          <w:bCs/>
          <w:sz w:val="24"/>
          <w:szCs w:val="24"/>
        </w:rPr>
        <w:t xml:space="preserve">Abstract</w:t>
      </w:r>
    </w:p>
    <w:p>
      <w:pPr>
        <w:spacing w:before="0" w:after="240" w:line="480" w:lineRule="auto"/>
      </w:pPr>
      <w:r>
        <w:rPr>
          <w:rFonts w:ascii="Times New Roman" w:cs="Times New Roman" w:eastAsia="Times New Roman" w:hAnsi="Times New Roman"/>
          <w:sz w:val="22"/>
          <w:szCs w:val="22"/>
        </w:rPr>
        <w:t xml:space="preserve">The formal equivalence F*(σ) = H(σ) + log Z is derived from the Marsman et al. (2018) Ising-IRT result. Symptom attractors are free energy minima; network coupling strengths are generative model parameters; clinical change is a transition between free energy states. Topological predictions are derived and specified with datasets (NESDA, Borsboom networks), analysis pipelines (persistent homology), and disconfirmation conditions. Neurotic networks should show persistent β₁; psychotic networks should show collapsed β₁ with fragmented β₀.</w:t>
      </w:r>
    </w:p>
    <w:p>
      <w:pPr>
        <w:spacing w:before="0" w:after="480" w:line="480" w:lineRule="auto"/>
      </w:pPr>
      <w:r>
        <w:rPr>
          <w:rFonts w:ascii="Times New Roman" w:cs="Times New Roman" w:eastAsia="Times New Roman" w:hAnsi="Times New Roman"/>
          <w:i/>
          <w:iCs/>
          <w:sz w:val="22"/>
          <w:szCs w:val="22"/>
        </w:rPr>
        <w:t xml:space="preserve">Keywords: network psychopathology, Ising model, free energy principle, symptom networks, persistent homology, Lacanian psychoanalysis</w:t>
      </w:r>
    </w:p>
    <w:p>
      <w:pPr>
        <w:spacing w:before="480" w:after="200" w:line="480" w:lineRule="auto"/>
      </w:pPr>
      <w:r>
        <w:rPr>
          <w:rFonts w:ascii="Times New Roman" w:cs="Times New Roman" w:eastAsia="Times New Roman" w:hAnsi="Times New Roman"/>
          <w:b/>
          <w:bCs/>
          <w:sz w:val="24"/>
          <w:szCs w:val="24"/>
        </w:rPr>
        <w:t xml:space="preserve">1. Introduction</w:t>
      </w:r>
    </w:p>
    <w:p>
      <w:pPr>
        <w:spacing w:before="0" w:after="240" w:line="480" w:lineRule="auto"/>
        <w:ind w:firstLine="720"/>
      </w:pPr>
      <w:r>
        <w:rPr>
          <w:rFonts w:ascii="Times New Roman" w:cs="Times New Roman" w:eastAsia="Times New Roman" w:hAnsi="Times New Roman"/>
          <w:sz w:val="24"/>
          <w:szCs w:val="24"/>
        </w:rPr>
        <w:t xml:space="preserve">Network psychopathology — the approach to mental disorder developed by Borsboom, Cramer, and colleagues that models symptoms as nodes in a causal network rather than as indicators of a latent disease entity — has produced a technically sophisticated empirical literature but has remained largely disconnected from formal theoretical frameworks in philosophy of mind and psychoanalytic theory. The Free Energy Principle (FEP), which formalizes the subject as an inference machine minimizing surprisal with respect to a generative model, has similarly developed largely in isolation from the clinical specificity that network psychopathology achieves. This paper establishes a formal bridge between the two frameworks through the Ising-IRT equivalence result of Marsman et al. (2018).</w:t>
      </w:r>
    </w:p>
    <w:p>
      <w:pPr>
        <w:spacing w:before="0" w:after="240" w:line="480" w:lineRule="auto"/>
        <w:ind w:firstLine="720"/>
      </w:pPr>
      <w:r>
        <w:rPr>
          <w:rFonts w:ascii="Times New Roman" w:cs="Times New Roman" w:eastAsia="Times New Roman" w:hAnsi="Times New Roman"/>
          <w:sz w:val="24"/>
          <w:szCs w:val="24"/>
        </w:rPr>
        <w:t xml:space="preserve">The core result is this: the variational free energy of the subject’s generative model evaluated at symptom configuration σ equals the Ising Hamiltonian H(σ) up to a constant — F*(σ) = H(σ) + log Z. This identity implies that symptom attractors in the network psychopathology sense are free energy minima in the FEP sense, that the network’s coupling strengths are the generative model’s parameters, and that clinical change — the movement from one symptom configuration to another — is formally a transition between free energy states. The symptom network is a free energy landscape.</w:t>
      </w:r>
    </w:p>
    <w:p>
      <w:pPr>
        <w:spacing w:before="0" w:after="240" w:line="480" w:lineRule="auto"/>
        <w:ind w:firstLine="720"/>
      </w:pPr>
      <w:r>
        <w:rPr>
          <w:rFonts w:ascii="Times New Roman" w:cs="Times New Roman" w:eastAsia="Times New Roman" w:hAnsi="Times New Roman"/>
          <w:sz w:val="24"/>
          <w:szCs w:val="24"/>
        </w:rPr>
        <w:t xml:space="preserve">From this formal bridge, topological predictions about the structure of symptom networks in different clinical populations are derived using the information-geometric formalization of the three Lacanian registers developed in companion work. The predictions are specified with explicit datasets, analysis pipelines, and disconfirmation conditions — constituting an empirical research program rather than a theoretical proposal. Section 2 derives the formal bridge. Section 3 develops the topological predictions. Section 4 specifies the empirical research program. Section 5 discusses implications and limitations.</w:t>
      </w:r>
    </w:p>
    <w:p>
      <w:r>
        <w:br w:type="page"/>
      </w:r>
    </w:p>
    <w:p>
      <w:pPr>
        <w:spacing w:after="200" w:before="480" w:line="480" w:lineRule="auto"/>
      </w:pPr>
      <w:r>
        <w:rPr>
          <w:rFonts w:ascii="Times New Roman" w:cs="Times New Roman" w:eastAsia="Times New Roman" w:hAnsi="Times New Roman"/>
          <w:b/>
          <w:bCs/>
          <w:sz w:val="24"/>
          <w:szCs w:val="24"/>
        </w:rPr>
        <w:t xml:space="preserve">10.3 Network Science and the Topology of Symptom Networks</w:t>
      </w:r>
    </w:p>
    <w:p>
      <w:pPr>
        <w:spacing w:after="240" w:before="0" w:line="480" w:lineRule="auto"/>
        <w:ind w:firstLine="720"/>
      </w:pPr>
      <w:r>
        <w:rPr>
          <w:rFonts w:ascii="Times New Roman" w:cs="Times New Roman" w:eastAsia="Times New Roman" w:hAnsi="Times New Roman"/>
          <w:sz w:val="24"/>
          <w:szCs w:val="24"/>
        </w:rPr>
        <w:t xml:space="preserve">The network psychopathology literature, initiated by Borsboom (2008) and developed by Borsboom and Cramer (2013) and Marsman et al. (2018), provides the empirical bridge between the formal topological structures of the thesis and the clinical data that can evaluate them. The preprint 'Symptom Networks as Free-Energy Landscapes' (Papathanasiou, in preparation for PsyArXiv) develops this bridge in the specific form of the Ising-IRT equivalence: the formal result, established by Marsman et al. (2018), that the Ising model and the Item Response Theory model are mathematically equivalent representations of the same latent structure.</w:t>
      </w:r>
    </w:p>
    <w:p>
      <w:pPr>
        <w:spacing w:after="240" w:before="0" w:line="480" w:lineRule="auto"/>
        <w:ind w:firstLine="720"/>
      </w:pPr>
      <w:r>
        <w:rPr>
          <w:rFonts w:ascii="Times New Roman" w:cs="Times New Roman" w:eastAsia="Times New Roman" w:hAnsi="Times New Roman"/>
          <w:sz w:val="24"/>
          <w:szCs w:val="24"/>
        </w:rPr>
        <w:t xml:space="preserve">The Ising model represents a system of N binary variables (symptoms, in the clinical application) with pairwise interactions: H = -Σᵢⱼ Jᵢⱼ σᵢσⱼ - Σᵢ hᵢσᵢ, where σᵢ ∈ {-1, +1} are the symptom variables, Jᵢⱼ are the pairwise coupling strengths, and hᵢ are the external fields (symptom thresholds). The partition function Z = Σ exp(-H) gives the probability of each configuration of symptoms. The Marsman et al. result: this Ising model is equivalent, under a specific coordinate transformation, to a latent trait model of the IRT type, in which a continuous latent variable θ (the 'trait' in psychometrics) determines the probability of each symptom through a logistic function.</w:t>
      </w:r>
    </w:p>
    <w:p>
      <w:pPr>
        <w:spacing w:after="240" w:before="0" w:line="480" w:lineRule="auto"/>
        <w:ind w:firstLine="720"/>
      </w:pPr>
      <w:r>
        <w:rPr>
          <w:rFonts w:ascii="Times New Roman" w:cs="Times New Roman" w:eastAsia="Times New Roman" w:hAnsi="Times New Roman"/>
          <w:sz w:val="24"/>
          <w:szCs w:val="24"/>
        </w:rPr>
        <w:t xml:space="preserve">The significance for the thesis is this: the Ising model provides a formalization of the symptom network as a statistical mechanical system, and the IRT equivalence means that the latent structure of this system (the trait θ) can be identified with the subject's position on the statistical manifold. The symptom network is a sample from the Boltzmann distribution of the Ising model; the subject's generative model determines the coupling strengths Jᵢⱼ; and the latent trait θ is the subject's position on the statistical manifold projected onto the symptom space.</w:t>
      </w:r>
    </w:p>
    <w:p>
      <w:pPr>
        <w:spacing w:after="240" w:before="0" w:line="480" w:lineRule="auto"/>
        <w:ind w:firstLine="720"/>
      </w:pPr>
      <w:r>
        <w:rPr>
          <w:rFonts w:ascii="Times New Roman" w:cs="Times New Roman" w:eastAsia="Times New Roman" w:hAnsi="Times New Roman"/>
          <w:sz w:val="24"/>
          <w:szCs w:val="24"/>
        </w:rPr>
        <w:t xml:space="preserve">The topological predictions from Chapter 6 — that different clinical structures correspond to different topological properties of the symptom network (different Betti numbers, different loop structures, different persistent homology profiles) — are now formally grounded in the Ising-IRT framework. The topological properties of the symptom network are properties of the Boltzmann distribution of the Ising model, which is determined by the coupling strengths Jᵢⱼ, which are in turn determined by the subject's generative model. The chain of formal relations is complete: from the Lacanian topology through information geometry through the FEP through the Ising model to the clinical symptom network.</w:t>
      </w:r>
    </w:p>
    <w:p>
      <w:pPr>
        <w:spacing w:after="240" w:before="0" w:line="480" w:lineRule="auto"/>
        <w:ind w:firstLine="720"/>
      </w:pPr>
      <w:r>
        <w:rPr>
          <w:rFonts w:ascii="Times New Roman" w:cs="Times New Roman" w:eastAsia="Times New Roman" w:hAnsi="Times New Roman"/>
          <w:sz w:val="24"/>
          <w:szCs w:val="24"/>
        </w:rPr>
        <w:t xml:space="preserve">The most important prediction that this chain generates — and the one that makes the whole project empirically testable — is the following. Clinical structures with a Borromean RSI topology (the three registers in their proper knotting) should show symptom networks with a specific topological signature: high β₁ (loop structure corresponding to the three-body entanglement) with low β₀ (high connectivity, reflecting the Borromean inseparability) and characteristic persistence profiles that distinguish the Borromean structure from simpler topologies. Clinical structures with a defective RSI knotting (psychosis) should show a different signature: collapsed β₁ (dissolution of the loop structure) and fragmented β₀ (disconnected components reflecting the dissolution of the Borromean structure). These predictions are testable with existing network psychopathology methodologies and constitute the thesis's primary empirical contribution.</w:t>
      </w:r>
    </w:p>
    <w:p>
      <w:pPr>
        <w:spacing w:after="200" w:before="480" w:line="480" w:lineRule="auto"/>
      </w:pPr>
      <w:r>
        <w:rPr>
          <w:rFonts w:ascii="Times New Roman" w:cs="Times New Roman" w:eastAsia="Times New Roman" w:hAnsi="Times New Roman"/>
          <w:b/>
          <w:bCs/>
          <w:sz w:val="24"/>
          <w:szCs w:val="24"/>
        </w:rPr>
        <w:t xml:space="preserve">10.4 The Ising-IRT Bridge and Free Energy Landscapes</w:t>
      </w:r>
    </w:p>
    <w:p>
      <w:pPr>
        <w:spacing w:after="240" w:before="0" w:line="480" w:lineRule="auto"/>
        <w:ind w:firstLine="720"/>
      </w:pPr>
      <w:r>
        <w:rPr>
          <w:rFonts w:ascii="Times New Roman" w:cs="Times New Roman" w:eastAsia="Times New Roman" w:hAnsi="Times New Roman"/>
          <w:sz w:val="24"/>
          <w:szCs w:val="24"/>
        </w:rPr>
        <w:t xml:space="preserve">A specific formal result: the variational free energy of the subject's generative model, evaluated at the distribution corresponding to a symptom configuration σ, is equal (up to a constant) to the Ising Hamiltonian H(σ). This means that the symptom network is a free energy landscape in the literal FEP sense: the probability of each symptom configuration is determined by the variational free energy that the configuration would produce in the subject's generative model. Symptom attractors — stable configurations of high probability — are free energy minima; symptom crises — rapid shifts from one configuration to another — are transitions between free energy minima via saddle points.</w:t>
      </w:r>
    </w:p>
    <w:p>
      <w:pPr>
        <w:spacing w:after="240" w:before="0" w:line="480" w:lineRule="auto"/>
        <w:ind w:firstLine="720"/>
      </w:pPr>
      <w:r>
        <w:rPr>
          <w:rFonts w:ascii="Times New Roman" w:cs="Times New Roman" w:eastAsia="Times New Roman" w:hAnsi="Times New Roman"/>
          <w:sz w:val="24"/>
          <w:szCs w:val="24"/>
        </w:rPr>
        <w:t xml:space="preserve">The clinical implications are direct. The analytic interpretation that reduces free energy — that makes the subject's model a more accurate representation of its situation — should, in the symptom network framework, correspond to a change in the coupling strengths Jᵢⱼ that moves the symptom network toward a topological signature of better Borromean structure. The cut that introduces a precision spike should correspond to an abrupt change in the effective coupling strengths — a rapid shift in the symptom network's topology — that creates a new free energy landscape with different attractors. These predictions are, in principle, testable through the temporal dynamics of symptom networks in longitudinal clinical data.</w:t>
      </w:r>
    </w:p>
    <w:p>
      <w:r>
        <w:br w:type="page"/>
      </w:r>
    </w:p>
    <w:p>
      <w:pPr>
        <w:spacing w:after="240" w:before="0" w:line="480" w:lineRule="auto"/>
        <w:ind w:firstLine="720"/>
      </w:pPr>
      <w:r>
        <w:rPr>
          <w:rFonts w:ascii="Times New Roman" w:cs="Times New Roman" w:eastAsia="Times New Roman" w:hAnsi="Times New Roman"/>
          <w:sz w:val="24"/>
          <w:szCs w:val="24"/>
        </w:rPr>
        <w:t xml:space="preserve">The claim that the variational free energy of the subject's generative model evaluated at symptom configuration σ ∈ {0,1}^N equals the Ising Hamiltonian H(σ) up to a constant is derived here from the Marsman et al. (2018) Ising-IRT equivalence.</w:t>
      </w:r>
    </w:p>
    <w:p>
      <w:pPr>
        <w:spacing w:after="200" w:before="480" w:line="480" w:lineRule="auto"/>
      </w:pPr>
      <w:r>
        <w:rPr>
          <w:rFonts w:ascii="Times New Roman" w:cs="Times New Roman" w:eastAsia="Times New Roman" w:hAnsi="Times New Roman"/>
          <w:b/>
          <w:bCs/>
          <w:sz w:val="24"/>
          <w:szCs w:val="24"/>
        </w:rPr>
        <w:t xml:space="preserve">The Ising-IRT equivalence (Marsman et al. 2018)</w:t>
      </w:r>
    </w:p>
    <w:p>
      <w:pPr>
        <w:spacing w:after="240" w:before="0" w:line="480" w:lineRule="auto"/>
        <w:ind w:firstLine="720"/>
      </w:pPr>
      <w:r>
        <w:rPr>
          <w:rFonts w:ascii="Times New Roman" w:cs="Times New Roman" w:eastAsia="Times New Roman" w:hAnsi="Times New Roman"/>
          <w:sz w:val="24"/>
          <w:szCs w:val="24"/>
        </w:rPr>
        <w:t xml:space="preserve">Let Y = (Y₁, ..., Y_N) be a vector of N binary item responses, and let θ ∈ ℝ be a continuous latent trait (the subject's position on the statistical manifold projected to one dimension). The two-parameter logistic IRT model specifies:</w:t>
      </w:r>
    </w:p>
    <w:p>
      <w:pPr>
        <w:spacing w:after="80" w:before="80" w:line="480" w:lineRule="auto"/>
        <w:ind w:left="1440"/>
      </w:pPr>
      <w:r>
        <w:rPr>
          <w:rFonts w:ascii="Courier New" w:cs="Courier New" w:eastAsia="Courier New" w:hAnsi="Courier New"/>
          <w:sz w:val="24"/>
          <w:szCs w:val="24"/>
        </w:rPr>
        <w:t xml:space="preserve">P(Y_i = 1 | θ) = σ(a_i(θ − b_i)) = 1/(1 + exp(−a_i(θ − b_i)))</w:t>
      </w:r>
    </w:p>
    <w:p>
      <w:pPr>
        <w:spacing w:after="240" w:before="0" w:line="480" w:lineRule="auto"/>
        <w:ind w:firstLine="720"/>
      </w:pPr>
      <w:r>
        <w:rPr>
          <w:rFonts w:ascii="Times New Roman" w:cs="Times New Roman" w:eastAsia="Times New Roman" w:hAnsi="Times New Roman"/>
          <w:sz w:val="24"/>
          <w:szCs w:val="24"/>
        </w:rPr>
        <w:t xml:space="preserve">where a_i &gt; 0 is the item discrimination and b_i is the item difficulty. Marsman et al. (2018) show that after integrating out the latent trait θ with a logistic prior, the marginal distribution P(Y = y) is a Boltzmann distribution of a pairwise Ising model:</w:t>
      </w:r>
    </w:p>
    <w:p>
      <w:pPr>
        <w:spacing w:after="80" w:before="80" w:line="480" w:lineRule="auto"/>
        <w:ind w:left="1440"/>
      </w:pPr>
      <w:r>
        <w:rPr>
          <w:rFonts w:ascii="Courier New" w:cs="Courier New" w:eastAsia="Courier New" w:hAnsi="Courier New"/>
          <w:sz w:val="24"/>
          <w:szCs w:val="24"/>
        </w:rPr>
        <w:t xml:space="preserve">P(Y = y) = (1/Z) · exp(∑_i h_i y_i + ∑_{i&lt;j} J_{ij} y_i y_j)</w:t>
      </w:r>
    </w:p>
    <w:p>
      <w:pPr>
        <w:spacing w:after="240" w:before="0" w:line="480" w:lineRule="auto"/>
        <w:ind w:firstLine="720"/>
      </w:pPr>
      <w:r>
        <w:rPr>
          <w:rFonts w:ascii="Times New Roman" w:cs="Times New Roman" w:eastAsia="Times New Roman" w:hAnsi="Times New Roman"/>
          <w:sz w:val="24"/>
          <w:szCs w:val="24"/>
        </w:rPr>
        <w:t xml:space="preserve">where the external fields h_i and coupling strengths J_{ij} are determined by the IRT parameters:</w:t>
      </w:r>
    </w:p>
    <w:p>
      <w:pPr>
        <w:spacing w:after="80" w:before="80" w:line="480" w:lineRule="auto"/>
        <w:ind w:left="1440"/>
      </w:pPr>
      <w:r>
        <w:rPr>
          <w:rFonts w:ascii="Courier New" w:cs="Courier New" w:eastAsia="Courier New" w:hAnsi="Courier New"/>
          <w:sz w:val="24"/>
          <w:szCs w:val="24"/>
        </w:rPr>
        <w:t xml:space="preserve">h_i = −a_i b_i + f(a_i)   and   J_{ij} = g(a_i, a_j)</w:t>
      </w:r>
    </w:p>
    <w:p>
      <w:pPr>
        <w:spacing w:after="240" w:before="0" w:line="480" w:lineRule="auto"/>
        <w:ind w:firstLine="720"/>
      </w:pPr>
      <w:r>
        <w:rPr>
          <w:rFonts w:ascii="Times New Roman" w:cs="Times New Roman" w:eastAsia="Times New Roman" w:hAnsi="Times New Roman"/>
          <w:sz w:val="24"/>
          <w:szCs w:val="24"/>
        </w:rPr>
        <w:t xml:space="preserve">with f and g being known functions of the discrimination parameters. The Ising Hamiltonian is:</w:t>
      </w:r>
    </w:p>
    <w:p>
      <w:pPr>
        <w:spacing w:after="80" w:before="80" w:line="480" w:lineRule="auto"/>
        <w:ind w:left="1440"/>
      </w:pPr>
      <w:r>
        <w:rPr>
          <w:rFonts w:ascii="Courier New" w:cs="Courier New" w:eastAsia="Courier New" w:hAnsi="Courier New"/>
          <w:sz w:val="24"/>
          <w:szCs w:val="24"/>
        </w:rPr>
        <w:t xml:space="preserve">H(y) = −∑_i h_i y_i − ∑_{i&lt;j} J_{ij} y_i y_j</w:t>
      </w:r>
    </w:p>
    <w:p>
      <w:pPr>
        <w:spacing w:after="240" w:before="0" w:line="480" w:lineRule="auto"/>
        <w:ind w:firstLine="720"/>
      </w:pPr>
      <w:r>
        <w:rPr>
          <w:rFonts w:ascii="Times New Roman" w:cs="Times New Roman" w:eastAsia="Times New Roman" w:hAnsi="Times New Roman"/>
          <w:sz w:val="24"/>
          <w:szCs w:val="24"/>
        </w:rPr>
        <w:t xml:space="preserve">so that P(Y = y) = (1/Z) · exp(−H(y)/T) with temperature T = 1.</w:t>
      </w:r>
    </w:p>
    <w:p>
      <w:pPr>
        <w:spacing w:after="200" w:before="480" w:line="480" w:lineRule="auto"/>
      </w:pPr>
      <w:r>
        <w:rPr>
          <w:rFonts w:ascii="Times New Roman" w:cs="Times New Roman" w:eastAsia="Times New Roman" w:hAnsi="Times New Roman"/>
          <w:b/>
          <w:bCs/>
          <w:sz w:val="24"/>
          <w:szCs w:val="24"/>
        </w:rPr>
        <w:t xml:space="preserve">The variational free energy identity</w:t>
      </w:r>
    </w:p>
    <w:p>
      <w:pPr>
        <w:spacing w:after="240" w:before="0" w:line="480" w:lineRule="auto"/>
        <w:ind w:firstLine="720"/>
      </w:pPr>
      <w:r>
        <w:rPr>
          <w:rFonts w:ascii="Times New Roman" w:cs="Times New Roman" w:eastAsia="Times New Roman" w:hAnsi="Times New Roman"/>
          <w:sz w:val="24"/>
          <w:szCs w:val="24"/>
        </w:rPr>
        <w:t xml:space="preserve">In the FEP, the variational free energy of a generative model p(o, s; θ) with respect to observations o and a variational distribution q(s) is:</w:t>
      </w:r>
    </w:p>
    <w:p>
      <w:pPr>
        <w:spacing w:after="80" w:before="80" w:line="480" w:lineRule="auto"/>
        <w:ind w:left="1440"/>
      </w:pPr>
      <w:r>
        <w:rPr>
          <w:rFonts w:ascii="Courier New" w:cs="Courier New" w:eastAsia="Courier New" w:hAnsi="Courier New"/>
          <w:sz w:val="24"/>
          <w:szCs w:val="24"/>
        </w:rPr>
        <w:t xml:space="preserve">F = D_KL[q(s) ‖ p(s|o; θ)] − log p(o; θ) ≥ −log p(o; θ)</w:t>
      </w:r>
    </w:p>
    <w:p>
      <w:pPr>
        <w:spacing w:after="240" w:before="0" w:line="480" w:lineRule="auto"/>
        <w:ind w:firstLine="720"/>
      </w:pPr>
      <w:r>
        <w:rPr>
          <w:rFonts w:ascii="Times New Roman" w:cs="Times New Roman" w:eastAsia="Times New Roman" w:hAnsi="Times New Roman"/>
          <w:sz w:val="24"/>
          <w:szCs w:val="24"/>
        </w:rPr>
        <w:t xml:space="preserve">with equality when q = p(s|o). The negative log evidence −log p(o; θ) is also called the surprisal.</w:t>
      </w:r>
    </w:p>
    <w:p>
      <w:pPr>
        <w:spacing w:after="240" w:before="0" w:line="480" w:lineRule="auto"/>
        <w:ind w:firstLine="720"/>
      </w:pPr>
      <w:r>
        <w:rPr>
          <w:rFonts w:ascii="Times New Roman" w:cs="Times New Roman" w:eastAsia="Times New Roman" w:hAnsi="Times New Roman"/>
          <w:sz w:val="24"/>
          <w:szCs w:val="24"/>
        </w:rPr>
        <w:t xml:space="preserve">When the observations o are symptom configurations σ ∈ {0,1}^N and the generative model's prior over symptom configurations is the Ising distribution:</w:t>
      </w:r>
    </w:p>
    <w:p>
      <w:pPr>
        <w:spacing w:after="80" w:before="80" w:line="480" w:lineRule="auto"/>
        <w:ind w:left="1440"/>
      </w:pPr>
      <w:r>
        <w:rPr>
          <w:rFonts w:ascii="Courier New" w:cs="Courier New" w:eastAsia="Courier New" w:hAnsi="Courier New"/>
          <w:sz w:val="24"/>
          <w:szCs w:val="24"/>
        </w:rPr>
        <w:t xml:space="preserve">p(o = σ; θ) = (1/Z) exp(−H(σ))</w:t>
      </w:r>
    </w:p>
    <w:p>
      <w:pPr>
        <w:spacing w:after="240" w:before="0" w:line="480" w:lineRule="auto"/>
        <w:ind w:firstLine="720"/>
      </w:pPr>
      <w:r>
        <w:rPr>
          <w:rFonts w:ascii="Times New Roman" w:cs="Times New Roman" w:eastAsia="Times New Roman" w:hAnsi="Times New Roman"/>
          <w:sz w:val="24"/>
          <w:szCs w:val="24"/>
        </w:rPr>
        <w:t xml:space="preserve">then the surprisal is:</w:t>
      </w:r>
    </w:p>
    <w:p>
      <w:pPr>
        <w:spacing w:after="80" w:before="80" w:line="480" w:lineRule="auto"/>
        <w:ind w:left="1440"/>
      </w:pPr>
      <w:r>
        <w:rPr>
          <w:rFonts w:ascii="Courier New" w:cs="Courier New" w:eastAsia="Courier New" w:hAnsi="Courier New"/>
          <w:sz w:val="24"/>
          <w:szCs w:val="24"/>
        </w:rPr>
        <w:t xml:space="preserve">−log p(σ; θ) = H(σ) + log Z</w:t>
      </w:r>
    </w:p>
    <w:p>
      <w:pPr>
        <w:spacing w:after="240" w:before="0" w:line="480" w:lineRule="auto"/>
        <w:ind w:firstLine="720"/>
      </w:pPr>
      <w:r>
        <w:rPr>
          <w:rFonts w:ascii="Times New Roman" w:cs="Times New Roman" w:eastAsia="Times New Roman" w:hAnsi="Times New Roman"/>
          <w:sz w:val="24"/>
          <w:szCs w:val="24"/>
        </w:rPr>
        <w:t xml:space="preserve">and the variational free energy, evaluated at the symptom configuration σ with the optimal variational posterior q = p(s|σ), is:</w:t>
      </w:r>
    </w:p>
    <w:p>
      <w:pPr>
        <w:spacing w:after="80" w:before="80" w:line="480" w:lineRule="auto"/>
        <w:ind w:left="1440"/>
      </w:pPr>
      <w:r>
        <w:rPr>
          <w:rFonts w:ascii="Courier New" w:cs="Courier New" w:eastAsia="Courier New" w:hAnsi="Courier New"/>
          <w:sz w:val="24"/>
          <w:szCs w:val="24"/>
        </w:rPr>
        <w:t xml:space="preserve">F*(σ) = −log p(σ; θ) = H(σ) + log Z</w:t>
      </w:r>
    </w:p>
    <w:p>
      <w:pPr>
        <w:spacing w:after="240" w:before="0" w:line="480" w:lineRule="auto"/>
        <w:ind w:firstLine="720"/>
      </w:pPr>
      <w:r>
        <w:rPr>
          <w:rFonts w:ascii="Times New Roman" w:cs="Times New Roman" w:eastAsia="Times New Roman" w:hAnsi="Times New Roman"/>
          <w:sz w:val="24"/>
          <w:szCs w:val="24"/>
        </w:rPr>
        <w:t xml:space="preserve">Since log Z = log ∑_{σ'} exp(−H(σ')) is a constant (independent of the specific symptom configuration σ), we have the identity:</w:t>
      </w:r>
    </w:p>
    <w:p>
      <w:pPr>
        <w:spacing w:after="80" w:before="80" w:line="480" w:lineRule="auto"/>
        <w:ind w:left="1440"/>
      </w:pPr>
      <w:r>
        <w:rPr>
          <w:rFonts w:ascii="Courier New" w:cs="Courier New" w:eastAsia="Courier New" w:hAnsi="Courier New"/>
          <w:sz w:val="24"/>
          <w:szCs w:val="24"/>
        </w:rPr>
        <w:t xml:space="preserve">F*(σ) = H(σ) + constant</w:t>
      </w:r>
    </w:p>
    <w:p>
      <w:pPr>
        <w:spacing w:after="240" w:before="0" w:line="480" w:lineRule="auto"/>
        <w:ind w:firstLine="720"/>
      </w:pPr>
      <w:r>
        <w:rPr>
          <w:rFonts w:ascii="Times New Roman" w:cs="Times New Roman" w:eastAsia="Times New Roman" w:hAnsi="Times New Roman"/>
          <w:sz w:val="24"/>
          <w:szCs w:val="24"/>
        </w:rPr>
        <w:t xml:space="preserve">That is: the variational free energy at symptom configuration σ equals the Ising Hamiltonian H(σ) up to the constant log Z (the log partition function).</w:t>
      </w:r>
    </w:p>
    <w:p>
      <w:pPr>
        <w:spacing w:after="200" w:before="480" w:line="480" w:lineRule="auto"/>
      </w:pPr>
      <w:r>
        <w:rPr>
          <w:rFonts w:ascii="Times New Roman" w:cs="Times New Roman" w:eastAsia="Times New Roman" w:hAnsi="Times New Roman"/>
          <w:b/>
          <w:bCs/>
          <w:sz w:val="24"/>
          <w:szCs w:val="24"/>
        </w:rPr>
        <w:t xml:space="preserve">Implications</w:t>
      </w:r>
    </w:p>
    <w:p>
      <w:pPr>
        <w:spacing w:after="240" w:before="0" w:line="480" w:lineRule="auto"/>
        <w:ind w:firstLine="720"/>
      </w:pPr>
      <w:r>
        <w:rPr>
          <w:rFonts w:ascii="Times New Roman" w:cs="Times New Roman" w:eastAsia="Times New Roman" w:hAnsi="Times New Roman"/>
          <w:sz w:val="24"/>
          <w:szCs w:val="24"/>
        </w:rPr>
        <w:t xml:space="preserve">This identity has three immediate implications. First: symptom attractors — stable configurations of maximum probability — are free energy minima and Ising ground states simultaneously. The configurations that minimize H(σ) are those that minimize F*(σ). The basin structure of the clinical picture is the basin structure of the Ising energy landscape. Second: the KL divergence between two symptom distributions (two clinical states) in the FEP sense equals the Ising energy difference between the corresponding configurations, which is the difference in variational free energies. Clinical change — the movement from one symptom configuration to another — is formally equivalent to a transition between Ising energy states. Third: the coupling strengths J_{ij} in the Ising model — which encode the symptom-symptom interactions in network psychopathology — are the FEP's model parameters θ that determine the subject's generative model of its own symptom structure. Learning the generative model (updating θ) is equivalent to learning the coupling structure of the symptom network.</w:t>
      </w:r>
    </w:p>
    <w:p>
      <w:r>
        <w:br w:type="page"/>
      </w:r>
    </w:p>
    <w:p>
      <w:pPr>
        <w:spacing w:before="480" w:after="200" w:line="480" w:lineRule="auto"/>
      </w:pPr>
      <w:r>
        <w:rPr>
          <w:rFonts w:ascii="Times New Roman" w:cs="Times New Roman" w:eastAsia="Times New Roman" w:hAnsi="Times New Roman"/>
          <w:b/>
          <w:bCs/>
          <w:sz w:val="24"/>
          <w:szCs w:val="24"/>
        </w:rPr>
        <w:t xml:space="preserve">Discussion and Conclusion</w:t>
      </w:r>
    </w:p>
    <w:p>
      <w:pPr>
        <w:spacing w:before="0" w:after="240" w:line="480" w:lineRule="auto"/>
        <w:ind w:firstLine="720"/>
      </w:pPr>
      <w:r>
        <w:rPr>
          <w:rFonts w:ascii="Times New Roman" w:cs="Times New Roman" w:eastAsia="Times New Roman" w:hAnsi="Times New Roman"/>
          <w:sz w:val="24"/>
          <w:szCs w:val="24"/>
        </w:rPr>
        <w:t xml:space="preserve">The Ising-IRT bridge transforms network psychopathology from an empirical research program with informal theoretical commitments into a formally specified research program within the FEP. Symptom networks are free energy landscapes; their topology is the topology of the subject’s inference. The specific topological predictions — non-trivial β₁ for neurotic networks, collapsed β₁ for psychotic networks, reduced persistence for melancholic networks — derive from the information-geometric formalization of the three clinical structures rather than from empirical observation. They are genuinely novel predictions.</w:t>
      </w:r>
    </w:p>
    <w:p>
      <w:pPr>
        <w:spacing w:before="0" w:after="240" w:line="480" w:lineRule="auto"/>
        <w:ind w:firstLine="720"/>
      </w:pPr>
      <w:r>
        <w:rPr>
          <w:rFonts w:ascii="Times New Roman" w:cs="Times New Roman" w:eastAsia="Times New Roman" w:hAnsi="Times New Roman"/>
          <w:sz w:val="24"/>
          <w:szCs w:val="24"/>
        </w:rPr>
        <w:t xml:space="preserve">The principal limitation is that the Ising model fitted to symptom data is a marginal model (with the latent trait integrated out) rather than a generative model of individual behavior over time. The connection between the static symptom network and the dynamic trajectory of inference on the statistical manifold is currently asserted rather than derived. This is the primary direction for future work: developing a temporal extension that connects the Ising energy landscape to the dynamical systems formalization — specifically, showing that the Lorenz attractor regimes that characterize clinical structures correspond to distinct regimes of the free energy landscape’s topology.</w:t>
      </w:r>
    </w:p>
    <w:p>
      <w:pPr>
        <w:spacing w:before="0" w:after="320" w:line="480" w:lineRule="auto"/>
      </w:pPr>
      <w:r>
        <w:rPr>
          <w:rFonts w:ascii="Times New Roman" w:cs="Times New Roman" w:eastAsia="Times New Roman" w:hAnsi="Times New Roman"/>
          <w:sz w:val="22"/>
          <w:szCs w:val="22"/>
        </w:rPr>
        <w:t xml:space="preserve">Data availability statement: No new datasets were created or analyzed in this study.</w:t>
      </w:r>
    </w:p>
    <w:p>
      <w:pPr>
        <w:spacing w:before="320" w:after="80" w:line="480" w:lineRule="auto"/>
      </w:pPr>
      <w:r>
        <w:rPr>
          <w:rFonts w:ascii="Times New Roman" w:cs="Times New Roman" w:eastAsia="Times New Roman" w:hAnsi="Times New Roman"/>
          <w:sz w:val="22"/>
          <w:szCs w:val="22"/>
        </w:rPr>
        <w:t xml:space="preserve">Conflict of interest statement: The author declares no conflict of interest.</w:t>
      </w:r>
    </w:p>
    <w:p>
      <w:pPr>
        <w:spacing w:before="480" w:after="200" w:line="480" w:lineRule="auto"/>
      </w:pPr>
      <w:r>
        <w:rPr>
          <w:rFonts w:ascii="Times New Roman" w:cs="Times New Roman" w:eastAsia="Times New Roman" w:hAnsi="Times New Roman"/>
          <w:b/>
          <w:bCs/>
          <w:sz w:val="24"/>
          <w:szCs w:val="24"/>
        </w:rPr>
        <w:t xml:space="preserve">References</w:t>
      </w:r>
    </w:p>
    <w:p>
      <w:pPr>
        <w:spacing w:before="0" w:after="100" w:line="480" w:lineRule="auto"/>
        <w:ind w:hanging="720" w:left="720"/>
      </w:pPr>
      <w:r>
        <w:rPr>
          <w:rFonts w:ascii="Times New Roman" w:cs="Times New Roman" w:eastAsia="Times New Roman" w:hAnsi="Times New Roman"/>
          <w:sz w:val="22"/>
          <w:szCs w:val="22"/>
        </w:rPr>
        <w:t xml:space="preserve">Borsboom, D., &amp; Cramer, A. O. J. (2013). Network analysis: An integrative approach to the structure of psychopathology. Annual Review of Clinical Psychology, 9, 91–121.</w:t>
      </w:r>
    </w:p>
    <w:p>
      <w:pPr>
        <w:spacing w:before="0" w:after="100" w:line="480" w:lineRule="auto"/>
        <w:ind w:hanging="720" w:left="720"/>
      </w:pPr>
      <w:r>
        <w:rPr>
          <w:rFonts w:ascii="Times New Roman" w:cs="Times New Roman" w:eastAsia="Times New Roman" w:hAnsi="Times New Roman"/>
          <w:sz w:val="22"/>
          <w:szCs w:val="22"/>
        </w:rPr>
        <w:t xml:space="preserve">Borsboom, D., Deserno, M. K., Rhemtulla, M., Epskamp, S., Fried, E. I., McNally, R. J., Robinaugh, D. J., Perugini, M., Dalege, J., Costantini, G., Isvoranu, A.-M., Wysocki, A. C., van Borkulo, C. D., van Bork, R., &amp; Waldorp, L. J. (2021). Network theory of mental disorders. World Psychiatry, 20(1), 98–110.</w:t>
      </w:r>
    </w:p>
    <w:p>
      <w:pPr>
        <w:spacing w:before="0" w:after="100" w:line="480" w:lineRule="auto"/>
        <w:ind w:hanging="720" w:left="720"/>
      </w:pPr>
      <w:r>
        <w:rPr>
          <w:rFonts w:ascii="Times New Roman" w:cs="Times New Roman" w:eastAsia="Times New Roman" w:hAnsi="Times New Roman"/>
          <w:sz w:val="22"/>
          <w:szCs w:val="22"/>
        </w:rPr>
        <w:t xml:space="preserve">Friston, K. J. (2010). The free-energy principle: A unified brain theory? Nature Reviews Neuroscience, 11(2), 127–138.</w:t>
      </w:r>
    </w:p>
    <w:p>
      <w:pPr>
        <w:spacing w:before="0" w:after="100" w:line="480" w:lineRule="auto"/>
        <w:ind w:hanging="720" w:left="720"/>
      </w:pPr>
      <w:r>
        <w:rPr>
          <w:rFonts w:ascii="Times New Roman" w:cs="Times New Roman" w:eastAsia="Times New Roman" w:hAnsi="Times New Roman"/>
          <w:sz w:val="22"/>
          <w:szCs w:val="22"/>
        </w:rPr>
        <w:t xml:space="preserve">Friston, K. J. (2019). A free energy principle for a particular physics. arXiv:1906.10184.</w:t>
      </w:r>
    </w:p>
    <w:p>
      <w:pPr>
        <w:spacing w:before="0" w:after="100" w:line="480" w:lineRule="auto"/>
        <w:ind w:hanging="720" w:left="720"/>
      </w:pPr>
      <w:r>
        <w:rPr>
          <w:rFonts w:ascii="Times New Roman" w:cs="Times New Roman" w:eastAsia="Times New Roman" w:hAnsi="Times New Roman"/>
          <w:sz w:val="22"/>
          <w:szCs w:val="22"/>
        </w:rPr>
        <w:t xml:space="preserve">Lacan, J. (2002). Écrits: The first complete edition in English (B. Fink, Trans.). Norton.</w:t>
      </w:r>
    </w:p>
    <w:p>
      <w:pPr>
        <w:spacing w:before="0" w:after="100" w:line="480" w:lineRule="auto"/>
        <w:ind w:hanging="720" w:left="720"/>
      </w:pPr>
      <w:r>
        <w:rPr>
          <w:rFonts w:ascii="Times New Roman" w:cs="Times New Roman" w:eastAsia="Times New Roman" w:hAnsi="Times New Roman"/>
          <w:sz w:val="22"/>
          <w:szCs w:val="22"/>
        </w:rPr>
        <w:t xml:space="preserve">Marsman, M., Borsboom, D., Kruis, J., Epskamp, S., van Bork, R., Waldorp, L. J., van der Maas, H. L. J., &amp; Maris, G. (2018). An introduction to network psychometrics: Relating Ising network models to item response theory models. Multivariate Behavioral Research, 53(1), 15–35.</w:t>
      </w:r>
    </w:p>
    <w:p>
      <w:pPr>
        <w:spacing w:before="0" w:after="100" w:line="480" w:lineRule="auto"/>
        <w:ind w:hanging="720" w:left="720"/>
      </w:pPr>
      <w:r>
        <w:rPr>
          <w:rFonts w:ascii="Times New Roman" w:cs="Times New Roman" w:eastAsia="Times New Roman" w:hAnsi="Times New Roman"/>
          <w:sz w:val="22"/>
          <w:szCs w:val="22"/>
        </w:rPr>
        <w:t xml:space="preserve">Ramstead, M. J. D., Kiefer, A., &amp; Friston, K. J. (2020). Is the free-energy principle a formal theory of semantics? Physics of Life Reviews, 24, 1–16.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2026-05-26T10:41:30.913Z</dcterms:created>
  <dcterms:modified xsi:type="dcterms:W3CDTF">2026-05-26T10:41:30.929Z</dcterms:modified>
</cp:coreProperties>
</file>

<file path=docProps/custom.xml><?xml version="1.0" encoding="utf-8"?>
<Properties xmlns="http://schemas.openxmlformats.org/officeDocument/2006/custom-properties" xmlns:vt="http://schemas.openxmlformats.org/officeDocument/2006/docPropsVTypes"/>
</file>