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720" w:line="480" w:lineRule="auto"/>
        <w:jc w:val="center"/>
      </w:pPr>
      <w:r>
        <w:rPr>
          <w:rFonts w:ascii="Times New Roman" w:cs="Times New Roman" w:eastAsia="Times New Roman" w:hAnsi="Times New Roman"/>
          <w:b/>
          <w:bCs/>
          <w:sz w:val="32"/>
          <w:szCs w:val="32"/>
        </w:rPr>
        <w:t xml:space="preserve">Epistemological Frameworks for the Lacanian FEP Project</w:t>
      </w:r>
    </w:p>
    <w:p>
      <w:pPr>
        <w:spacing w:after="120" w:before="0" w:line="480" w:lineRule="auto"/>
        <w:jc w:val="center"/>
      </w:pPr>
      <w:r>
        <w:rPr>
          <w:rFonts w:ascii="Times New Roman" w:cs="Times New Roman" w:eastAsia="Times New Roman" w:hAnsi="Times New Roman"/>
          <w:i/>
          <w:iCs/>
          <w:sz w:val="24"/>
          <w:szCs w:val="24"/>
        </w:rPr>
        <w:t xml:space="preserve">A Research Memorandum for The Barred Manifold</w:t>
      </w:r>
    </w:p>
    <w:p>
      <w:pPr>
        <w:spacing w:after="720" w:before="0" w:line="480" w:lineRule="auto"/>
        <w:jc w:val="center"/>
      </w:pPr>
      <w:r>
        <w:rPr>
          <w:rFonts w:ascii="Times New Roman" w:cs="Times New Roman" w:eastAsia="Times New Roman" w:hAnsi="Times New Roman"/>
          <w:sz w:val="24"/>
          <w:szCs w:val="24"/>
        </w:rPr>
        <w:t xml:space="preserve">Vassilis Papathanasiou</w:t>
      </w:r>
    </w:p>
    <w:p>
      <w:pPr>
        <w:spacing w:after="240" w:before="0" w:line="480" w:lineRule="auto"/>
        <w:ind w:firstLine="720"/>
      </w:pPr>
      <w:r>
        <w:rPr>
          <w:rFonts w:ascii="Times New Roman" w:cs="Times New Roman" w:eastAsia="Times New Roman" w:hAnsi="Times New Roman"/>
          <w:sz w:val="24"/>
          <w:szCs w:val="24"/>
        </w:rPr>
        <w:t xml:space="preserve">This document surveys the epistemological and ontological frameworks available for grounding the formalization project of The Barred Manifold. The project operates at the intersection of Lacanian psychoanalysis, information geometry, and the Free Energy Principle. Its epistemological needs are specific: it requires a framework that can (1) specify the ontological status of the formal structures it proposes without reducing them to either mental constructs or physical substances; (2) account for the legitimacy of cross-framework correspondence between Lacanian concepts and FEP structures; (3) characterize the project's scientific standing without demanding direct falsifiability of every claim; and (4) preserve the temporal, processual character of the subject's mode of being, which is constitutively a becoming rather than a state. The frameworks surveyed are assessed against these four requirements. Each assessment concludes with a verdict: Recommended, Partially Applicable, or Not Recommended.</w:t>
      </w:r>
    </w:p>
    <w:p>
      <w:r>
        <w:br w:type="page"/>
      </w:r>
    </w:p>
    <w:p>
      <w:pPr>
        <w:spacing w:after="280" w:before="560" w:line="480" w:lineRule="auto"/>
      </w:pPr>
      <w:r>
        <w:rPr>
          <w:rFonts w:ascii="Times New Roman" w:cs="Times New Roman" w:eastAsia="Times New Roman" w:hAnsi="Times New Roman"/>
          <w:b/>
          <w:bCs/>
          <w:sz w:val="28"/>
          <w:szCs w:val="28"/>
        </w:rPr>
        <w:t xml:space="preserve">I. Frameworks Already in the Thesis</w:t>
      </w:r>
    </w:p>
    <w:p>
      <w:pPr>
        <w:spacing w:after="160" w:before="400" w:line="480" w:lineRule="auto"/>
      </w:pPr>
      <w:r>
        <w:rPr>
          <w:rFonts w:ascii="Times New Roman" w:cs="Times New Roman" w:eastAsia="Times New Roman" w:hAnsi="Times New Roman"/>
          <w:b/>
          <w:bCs/>
          <w:sz w:val="24"/>
          <w:szCs w:val="24"/>
        </w:rPr>
        <w:t xml:space="preserve">1. Carnapian Formal Explication</w:t>
      </w:r>
    </w:p>
    <w:p>
      <w:pPr>
        <w:spacing w:after="240" w:before="0" w:line="480" w:lineRule="auto"/>
        <w:ind w:firstLine="720"/>
      </w:pPr>
      <w:r>
        <w:rPr>
          <w:rFonts w:ascii="Times New Roman" w:cs="Times New Roman" w:eastAsia="Times New Roman" w:hAnsi="Times New Roman"/>
          <w:sz w:val="24"/>
          <w:szCs w:val="24"/>
        </w:rPr>
        <w:t xml:space="preserve">The current primary epistemological framing: vague pre-theoretical concepts (jouissance, the barred subject, the Real) are replaced by precise formal equivalents (solenoidal NESS flow, non-stationary statistical manifold trajectory, boundary singularities of the Fisher metric) that serve the same theoretical function in an enriched mathematical framework. The explication is ontologically neutral: it makes no claim about whether the formal equivalent refers to the same entity as the original concept, only that it serves the same function more precisely.</w:t>
      </w:r>
    </w:p>
    <w:p>
      <w:pPr>
        <w:spacing w:after="240" w:before="0" w:line="480" w:lineRule="auto"/>
        <w:ind w:firstLine="720"/>
      </w:pPr>
      <w:r>
        <w:rPr>
          <w:rFonts w:ascii="Times New Roman" w:cs="Times New Roman" w:eastAsia="Times New Roman" w:hAnsi="Times New Roman"/>
          <w:sz w:val="24"/>
          <w:szCs w:val="24"/>
        </w:rPr>
        <w:t xml:space="preserve">Strengths: philosophically modest, technically precise, defensible against the Quinean objection. The Carnapian framing is correct for describing what the thesis does chapter by chapter. Weaknesses: it cannot say anything about the ontological status of the formal structures (it brackets the ontological question by design), and it implies a one-way replacement that misrepresents the bidirectionality of the project (the thesis also uses Lacanian concepts to identify gaps in the FEP).</w:t>
      </w:r>
    </w:p>
    <w:p>
      <w:pPr>
        <w:spacing w:after="200" w:before="0" w:line="480" w:lineRule="auto"/>
        <w:ind w:left="720" w:firstLine="0"/>
      </w:pPr>
      <w:r>
        <w:rPr>
          <w:rFonts w:ascii="Times New Roman" w:cs="Times New Roman" w:eastAsia="Times New Roman" w:hAnsi="Times New Roman"/>
          <w:b/>
          <w:bCs/>
          <w:sz w:val="24"/>
          <w:szCs w:val="24"/>
        </w:rPr>
        <w:t xml:space="preserve">Verdict: </w:t>
      </w:r>
      <w:r>
        <w:rPr>
          <w:rFonts w:ascii="Times New Roman" w:cs="Times New Roman" w:eastAsia="Times New Roman" w:hAnsi="Times New Roman"/>
          <w:i/>
          <w:iCs/>
          <w:sz w:val="24"/>
          <w:szCs w:val="24"/>
        </w:rPr>
        <w:t xml:space="preserve">Retained as the primary description of the formal work, supplemented by the frameworks below for ontological and epistemological grounding.</w:t>
      </w:r>
    </w:p>
    <w:p>
      <w:pPr>
        <w:spacing w:after="160" w:before="400" w:line="480" w:lineRule="auto"/>
      </w:pPr>
      <w:r>
        <w:rPr>
          <w:rFonts w:ascii="Times New Roman" w:cs="Times New Roman" w:eastAsia="Times New Roman" w:hAnsi="Times New Roman"/>
          <w:b/>
          <w:bCs/>
          <w:sz w:val="24"/>
          <w:szCs w:val="24"/>
        </w:rPr>
        <w:t xml:space="preserve">2. Ontic Structural Realism (Ladyman &amp; Ross)</w:t>
      </w:r>
    </w:p>
    <w:p>
      <w:pPr>
        <w:spacing w:after="240" w:before="0" w:line="480" w:lineRule="auto"/>
        <w:ind w:firstLine="720"/>
      </w:pPr>
      <w:r>
        <w:rPr>
          <w:rFonts w:ascii="Times New Roman" w:cs="Times New Roman" w:eastAsia="Times New Roman" w:hAnsi="Times New Roman"/>
          <w:sz w:val="24"/>
          <w:szCs w:val="24"/>
        </w:rPr>
        <w:t xml:space="preserve">Ladyman and Ross (2007) in Every Thing Must Go: Metaphysics Naturalized argue that only structural facts are real: physical and special-science entities are real not as substances with intrinsic properties but as nodes in relational structures. The Dennett (1991) notion of 'real patterns' — stable, projectible structural regularities — provides the ontological currency. The thesis's position should be explicitly non-eliminativist OSR (Ladyman &amp; Ross's own position, distinct from French's eliminativism): the structures are real and the entities are not eliminated, but the entities' reality consists in their structural positions rather than in any intrinsic substance.</w:t>
      </w:r>
    </w:p>
    <w:p>
      <w:pPr>
        <w:spacing w:after="240" w:before="0" w:line="480" w:lineRule="auto"/>
        <w:ind w:firstLine="720"/>
      </w:pPr>
      <w:r>
        <w:rPr>
          <w:rFonts w:ascii="Times New Roman" w:cs="Times New Roman" w:eastAsia="Times New Roman" w:hAnsi="Times New Roman"/>
          <w:sz w:val="24"/>
          <w:szCs w:val="24"/>
        </w:rPr>
        <w:t xml:space="preserve">Application to the thesis: the Lacanian subject is a real pattern in the Dennett-Ladyman sense — a stable, projectible structural regularity (non-stationary trajectory on the statistical manifold, Borromean entanglement of three registers, irreducible solenoidal surplus) that earns its place in the ontology by its role in scientific explanation. The information-geometric formalization is not a reduction of the subject to a probability distribution but the specification of the structural facts about the subject at a particular level of description.</w:t>
      </w:r>
    </w:p>
    <w:p>
      <w:pPr>
        <w:spacing w:after="240" w:before="0" w:line="480" w:lineRule="auto"/>
        <w:ind w:firstLine="720"/>
      </w:pPr>
      <w:r>
        <w:rPr>
          <w:rFonts w:ascii="Times New Roman" w:cs="Times New Roman" w:eastAsia="Times New Roman" w:hAnsi="Times New Roman"/>
          <w:sz w:val="24"/>
          <w:szCs w:val="24"/>
        </w:rPr>
        <w:t xml:space="preserve">Critical distinction to make explicit in the thesis: the eliminativist version of OSR (French 2014, The Structure of the World, OUP) holds that objects are eliminated from the fundamental ontology in favor of structures — there are no subjects, only subject-structures. The non-eliminativist version (Ladyman &amp; Ross 2007; Ladyman &amp; Lorenzetti 2022) holds that objects are real as structural nodes, not eliminated. The thesis must commit to the non-eliminativist version: the Lacanian subject is a real structural node, not a figment to be eliminated.</w:t>
      </w:r>
    </w:p>
    <w:p>
      <w:pPr>
        <w:spacing w:after="200" w:before="0" w:line="480" w:lineRule="auto"/>
        <w:ind w:left="720" w:firstLine="0"/>
      </w:pPr>
      <w:r>
        <w:rPr>
          <w:rFonts w:ascii="Times New Roman" w:cs="Times New Roman" w:eastAsia="Times New Roman" w:hAnsi="Times New Roman"/>
          <w:b/>
          <w:bCs/>
          <w:sz w:val="24"/>
          <w:szCs w:val="24"/>
        </w:rPr>
        <w:t xml:space="preserve">Verdict: </w:t>
      </w:r>
      <w:r>
        <w:rPr>
          <w:rFonts w:ascii="Times New Roman" w:cs="Times New Roman" w:eastAsia="Times New Roman" w:hAnsi="Times New Roman"/>
          <w:i/>
          <w:iCs/>
          <w:sz w:val="24"/>
          <w:szCs w:val="24"/>
        </w:rPr>
        <w:t xml:space="preserve">Recommended. Non-eliminativist OSR is the correct ontological framework. The eliminativist version is philosophically incompatible with the thesis's clinical commitments.</w:t>
      </w:r>
    </w:p>
    <w:p>
      <w:pPr>
        <w:spacing w:after="160" w:before="400" w:line="480" w:lineRule="auto"/>
      </w:pPr>
      <w:r>
        <w:rPr>
          <w:rFonts w:ascii="Times New Roman" w:cs="Times New Roman" w:eastAsia="Times New Roman" w:hAnsi="Times New Roman"/>
          <w:b/>
          <w:bCs/>
          <w:sz w:val="24"/>
          <w:szCs w:val="24"/>
        </w:rPr>
        <w:t xml:space="preserve">3. Floridi's Informational Structural Realism (ISR)</w:t>
      </w:r>
    </w:p>
    <w:p>
      <w:pPr>
        <w:spacing w:after="240" w:before="0" w:line="480" w:lineRule="auto"/>
        <w:ind w:firstLine="720"/>
      </w:pPr>
      <w:r>
        <w:rPr>
          <w:rFonts w:ascii="Times New Roman" w:cs="Times New Roman" w:eastAsia="Times New Roman" w:hAnsi="Times New Roman"/>
          <w:sz w:val="24"/>
          <w:szCs w:val="24"/>
        </w:rPr>
        <w:t xml:space="preserve">Floridi (2003, 2008) develops ISR as a reconciliation of epistemic and ontic structural realism through the method of levels of abstraction (LoA). A level of abstraction is a set of typed variables (observables) that define a particular observational interface; claims made at a given LoA are true relative to that interface. The information-geometric LoA, the clinical LoA, the neural LoA, and the psychoanalytic LoA are distinct but formally mappable levels of description of the same real structural patterns.</w:t>
      </w:r>
    </w:p>
    <w:p>
      <w:pPr>
        <w:spacing w:after="240" w:before="0" w:line="480" w:lineRule="auto"/>
        <w:ind w:firstLine="720"/>
      </w:pPr>
      <w:r>
        <w:rPr>
          <w:rFonts w:ascii="Times New Roman" w:cs="Times New Roman" w:eastAsia="Times New Roman" w:hAnsi="Times New Roman"/>
          <w:sz w:val="24"/>
          <w:szCs w:val="24"/>
        </w:rPr>
        <w:t xml:space="preserve">Application: the formalization is real relative to its LoA. The claim that jouissance is solenoidal flow is true at the information-geometric LoA without claiming that jouissance simply is solenoidal flow at a more fundamental level. The different levels are related by formal mappings that preserve the structural content while allowing distinct observational vocabularies. This resolves the apparent conflict between the clinical specificity of Lacanian concepts and the mathematical generality of information geometry: they are descriptions at different LoAs of the same structural patterns.</w:t>
      </w:r>
    </w:p>
    <w:p>
      <w:pPr>
        <w:spacing w:after="240" w:before="0" w:line="480" w:lineRule="auto"/>
        <w:ind w:firstLine="720"/>
      </w:pPr>
      <w:r>
        <w:rPr>
          <w:rFonts w:ascii="Times New Roman" w:cs="Times New Roman" w:eastAsia="Times New Roman" w:hAnsi="Times New Roman"/>
          <w:sz w:val="24"/>
          <w:szCs w:val="24"/>
        </w:rPr>
        <w:t xml:space="preserve">Critical note: Beni (2016, 2019) develops Cognitive Structural Realism (CSR) as an extension of Floridi's ISR using the FEP specifically — CSR characterizes the structure of theories in terms of cognitive structures that are informational structures embodied in scientists' generative models. This makes CSR the most directly relevant variant of ISR for the present thesis: the thesis itself is a cognitive structure in the CSR sense, and its claims about the Lacanian subject are claims about real patterns at the appropriate LoA.</w:t>
      </w:r>
    </w:p>
    <w:p>
      <w:pPr>
        <w:spacing w:after="200" w:before="0" w:line="480" w:lineRule="auto"/>
        <w:ind w:left="720" w:firstLine="0"/>
      </w:pPr>
      <w:r>
        <w:rPr>
          <w:rFonts w:ascii="Times New Roman" w:cs="Times New Roman" w:eastAsia="Times New Roman" w:hAnsi="Times New Roman"/>
          <w:b/>
          <w:bCs/>
          <w:sz w:val="24"/>
          <w:szCs w:val="24"/>
        </w:rPr>
        <w:t xml:space="preserve">Verdict: </w:t>
      </w:r>
      <w:r>
        <w:rPr>
          <w:rFonts w:ascii="Times New Roman" w:cs="Times New Roman" w:eastAsia="Times New Roman" w:hAnsi="Times New Roman"/>
          <w:i/>
          <w:iCs/>
          <w:sz w:val="24"/>
          <w:szCs w:val="24"/>
        </w:rPr>
        <w:t xml:space="preserve">Recommended, particularly through Beni's FEP-specific CSR variant. Complements OSR by providing the cross-level mapping framework.</w:t>
      </w:r>
    </w:p>
    <w:p>
      <w:pPr>
        <w:spacing w:after="160" w:before="400" w:line="480" w:lineRule="auto"/>
      </w:pPr>
      <w:r>
        <w:rPr>
          <w:rFonts w:ascii="Times New Roman" w:cs="Times New Roman" w:eastAsia="Times New Roman" w:hAnsi="Times New Roman"/>
          <w:b/>
          <w:bCs/>
          <w:sz w:val="24"/>
          <w:szCs w:val="24"/>
        </w:rPr>
        <w:t xml:space="preserve">4. Lakatos's Methodology of Scientific Research Programmes</w:t>
      </w:r>
    </w:p>
    <w:p>
      <w:pPr>
        <w:spacing w:after="240" w:before="0" w:line="480" w:lineRule="auto"/>
        <w:ind w:firstLine="720"/>
      </w:pPr>
      <w:r>
        <w:rPr>
          <w:rFonts w:ascii="Times New Roman" w:cs="Times New Roman" w:eastAsia="Times New Roman" w:hAnsi="Times New Roman"/>
          <w:sz w:val="24"/>
          <w:szCs w:val="24"/>
        </w:rPr>
        <w:t xml:space="preserve">Lakatos (1978, The Methodology of Scientific Research Programmes, Cambridge University Press) characterizes the basic unit of scientific assessment not as an individual theory but as a research programme: a series of theories connected by a hard core of irrefutable commitments, a protective belt of testable auxiliary hypotheses, a negative heuristic (preserve the hard core), and a positive heuristic (directions of development). A programme is progressive if it generates novel predictions that are subsequently confirmed; degenerative if it only accommodates anomalies post hoc.</w:t>
      </w:r>
    </w:p>
    <w:p>
      <w:pPr>
        <w:spacing w:after="240" w:before="0" w:line="480" w:lineRule="auto"/>
        <w:ind w:firstLine="720"/>
      </w:pPr>
      <w:r>
        <w:rPr>
          <w:rFonts w:ascii="Times New Roman" w:cs="Times New Roman" w:eastAsia="Times New Roman" w:hAnsi="Times New Roman"/>
          <w:sz w:val="24"/>
          <w:szCs w:val="24"/>
        </w:rPr>
        <w:t xml:space="preserve">Application to the thesis: the hard core consists of three commitments — Borromean entanglement of RSI, constitutive incompleteness of the subject ($), irreducible solenoidal surplus (jouissance). These are not directly testable and are not discarded when anomalies arise. The protective belt consists of the specific formalizations (information-geometric model, Lorenz attractor analysis, Ising-IRT bridge). The positive heuristic is specified in §10.5: three empirical predictions with explicit disconfirmation conditions. The programme is progressive because §10.5's predictions are novel and antecedently unexpected — they were not derived from prior clinical observation but generated by the formal program.</w:t>
      </w:r>
    </w:p>
    <w:p>
      <w:pPr>
        <w:spacing w:after="240" w:before="0" w:line="480" w:lineRule="auto"/>
        <w:ind w:firstLine="720"/>
      </w:pPr>
      <w:r>
        <w:rPr>
          <w:rFonts w:ascii="Times New Roman" w:cs="Times New Roman" w:eastAsia="Times New Roman" w:hAnsi="Times New Roman"/>
          <w:sz w:val="24"/>
          <w:szCs w:val="24"/>
        </w:rPr>
        <w:t xml:space="preserve">Note on the 'stagnant programme' problem: Kaveh &amp; Karger (2024, arXiv:2404.18307) argue that the Lakatosian framework does not specify time scales for empirical progress, leaving the distinction between stagnant and degenerative programmes indeterminate. For the present project, this is not a problem: the empirical program is sufficiently specified (datasets, methods, disconfirmation conditions) that the time scale for relevant evidence is determinate. Progress or failure is expected on a 5–10 year timeline, given current rates of data collection in network psychopathology and resting-state fMRI.</w:t>
      </w:r>
    </w:p>
    <w:p>
      <w:pPr>
        <w:spacing w:after="200" w:before="0" w:line="480" w:lineRule="auto"/>
        <w:ind w:left="720" w:firstLine="0"/>
      </w:pPr>
      <w:r>
        <w:rPr>
          <w:rFonts w:ascii="Times New Roman" w:cs="Times New Roman" w:eastAsia="Times New Roman" w:hAnsi="Times New Roman"/>
          <w:b/>
          <w:bCs/>
          <w:sz w:val="24"/>
          <w:szCs w:val="24"/>
        </w:rPr>
        <w:t xml:space="preserve">Verdict: </w:t>
      </w:r>
      <w:r>
        <w:rPr>
          <w:rFonts w:ascii="Times New Roman" w:cs="Times New Roman" w:eastAsia="Times New Roman" w:hAnsi="Times New Roman"/>
          <w:i/>
          <w:iCs/>
          <w:sz w:val="24"/>
          <w:szCs w:val="24"/>
        </w:rPr>
        <w:t xml:space="preserve">Recommended. The Lakatosian framework is the correct characterization of the project's scientific standing. It must be distinguished from mere Popperian falsificationism: the thesis is not falsifiable at every level but is empirically tractable.</w:t>
      </w:r>
    </w:p>
    <w:p>
      <w:r>
        <w:br w:type="page"/>
      </w:r>
    </w:p>
    <w:p>
      <w:pPr>
        <w:spacing w:after="280" w:before="560" w:line="480" w:lineRule="auto"/>
      </w:pPr>
      <w:r>
        <w:rPr>
          <w:rFonts w:ascii="Times New Roman" w:cs="Times New Roman" w:eastAsia="Times New Roman" w:hAnsi="Times New Roman"/>
          <w:b/>
          <w:bCs/>
          <w:sz w:val="28"/>
          <w:szCs w:val="28"/>
        </w:rPr>
        <w:t xml:space="preserve">II. Additional Frameworks to Incorporate</w:t>
      </w:r>
    </w:p>
    <w:p>
      <w:pPr>
        <w:spacing w:after="160" w:before="400" w:line="480" w:lineRule="auto"/>
      </w:pPr>
      <w:r>
        <w:rPr>
          <w:rFonts w:ascii="Times New Roman" w:cs="Times New Roman" w:eastAsia="Times New Roman" w:hAnsi="Times New Roman"/>
          <w:b/>
          <w:bCs/>
          <w:sz w:val="24"/>
          <w:szCs w:val="24"/>
        </w:rPr>
        <w:t xml:space="preserve">5. Process Philosophy (Whitehead, Rescher)</w:t>
      </w:r>
    </w:p>
    <w:p>
      <w:pPr>
        <w:spacing w:after="240" w:before="0" w:line="480" w:lineRule="auto"/>
        <w:ind w:firstLine="720"/>
      </w:pPr>
      <w:r>
        <w:rPr>
          <w:rFonts w:ascii="Times New Roman" w:cs="Times New Roman" w:eastAsia="Times New Roman" w:hAnsi="Times New Roman"/>
          <w:sz w:val="24"/>
          <w:szCs w:val="24"/>
        </w:rPr>
        <w:t xml:space="preserve">Process philosophy — the tradition running from Whitehead's Process and Reality (1929) through Rescher's systematic process metaphysics (1996, Process Metaphysics: An Introduction to Process Philosophy, SUNY Press) — holds that reality is constituted by events, processes, and their relations rather than by enduring substances with intrinsic properties. The most fundamental ontological category is not the thing but the occurrence: what Whitehead calls the 'actual occasion' of experience.</w:t>
      </w:r>
    </w:p>
    <w:p>
      <w:pPr>
        <w:spacing w:after="240" w:before="0" w:line="480" w:lineRule="auto"/>
        <w:ind w:firstLine="720"/>
      </w:pPr>
      <w:r>
        <w:rPr>
          <w:rFonts w:ascii="Times New Roman" w:cs="Times New Roman" w:eastAsia="Times New Roman" w:hAnsi="Times New Roman"/>
          <w:sz w:val="24"/>
          <w:szCs w:val="24"/>
        </w:rPr>
        <w:t xml:space="preserve">This framework addresses a gap in the current epistemological apparatus. Neither OSR, ISR, nor Lakatos provides an adequate account of the temporal, processual character of the subject's mode of being. The Lacanian subject is not a state but a trajectory: it is constituted by the retroactive structure of the après-coup (meaning is constituted in the process of unfolding, not in a timeless structure), by the logical time of its emergence (the moment of concluding is not a state but an event), and by the strange-attractor dynamics that formalize the analytic cure (not a terminal state but a bounded process). These are all processual features that a substance ontology — including OSR in its standard formulation — cannot adequately capture.</w:t>
      </w:r>
    </w:p>
    <w:p>
      <w:pPr>
        <w:spacing w:after="240" w:before="0" w:line="480" w:lineRule="auto"/>
        <w:ind w:firstLine="720"/>
      </w:pPr>
      <w:r>
        <w:rPr>
          <w:rFonts w:ascii="Times New Roman" w:cs="Times New Roman" w:eastAsia="Times New Roman" w:hAnsi="Times New Roman"/>
          <w:sz w:val="24"/>
          <w:szCs w:val="24"/>
        </w:rPr>
        <w:t xml:space="preserve">The specific connection to the FEP is direct: Whitehead (1929) explicitly treats process as constitutive of experience, and the FEP formalizes the organism/subject as a process of free-energy minimization rather than as a state. Northrop (2020, Neuroscience and Whitehead, Global Philosophy) has developed the application of Whitehead's process ontology to neuroscience, arguing that the brain is not a 'simple location' (a spatial object with intrinsic properties) but a process constituted by its temporal dynamics. This maps onto the FEP's non-equilibrium steady-state formalism: the subject is constituted by its dynamical process, not by any state it happens to occupy.</w:t>
      </w:r>
    </w:p>
    <w:p>
      <w:pPr>
        <w:spacing w:after="240" w:before="0" w:line="480" w:lineRule="auto"/>
        <w:ind w:firstLine="720"/>
      </w:pPr>
      <w:r>
        <w:rPr>
          <w:rFonts w:ascii="Times New Roman" w:cs="Times New Roman" w:eastAsia="Times New Roman" w:hAnsi="Times New Roman"/>
          <w:sz w:val="24"/>
          <w:szCs w:val="24"/>
        </w:rPr>
        <w:t xml:space="preserve">Rescher's less technical process metaphysics is more accessible than Whitehead and provides a clear framework for the temporal features of the thesis. Rescher (1996) argues that rational inquiry itself is a process — not the progressive accumulation of states of knowledge but the ongoing refinement of a coherent inferential process. This characterizes the thesis's research programme structure more accurately than a static theory of knowledge.</w:t>
      </w:r>
    </w:p>
    <w:p>
      <w:pPr>
        <w:spacing w:after="240" w:before="0" w:line="480" w:lineRule="auto"/>
        <w:ind w:firstLine="720"/>
      </w:pPr>
      <w:r>
        <w:rPr>
          <w:rFonts w:ascii="Times New Roman" w:cs="Times New Roman" w:eastAsia="Times New Roman" w:hAnsi="Times New Roman"/>
          <w:sz w:val="24"/>
          <w:szCs w:val="24"/>
        </w:rPr>
        <w:t xml:space="preserve">Key reference: Seibt (2017, Process Philosophy, SEP) surveys the current state of process philosophy and notes its 'process turn in the ontology of mind' (Steward 2012, Stout 2018) as a recent development directly relevant to cognitive science. The specific application to nonlinear dynamical systems in cognitive science — the trajectory on the statistical manifold is a Whiteheadian process, not a Whiteheadian substance — grounds the formal connection between process philosophy and the information-geometric formalization.</w:t>
      </w:r>
    </w:p>
    <w:p>
      <w:pPr>
        <w:spacing w:after="200" w:before="0" w:line="480" w:lineRule="auto"/>
        <w:ind w:left="720" w:firstLine="0"/>
      </w:pPr>
      <w:r>
        <w:rPr>
          <w:rFonts w:ascii="Times New Roman" w:cs="Times New Roman" w:eastAsia="Times New Roman" w:hAnsi="Times New Roman"/>
          <w:b/>
          <w:bCs/>
          <w:sz w:val="24"/>
          <w:szCs w:val="24"/>
        </w:rPr>
        <w:t xml:space="preserve">Verdict: </w:t>
      </w:r>
      <w:r>
        <w:rPr>
          <w:rFonts w:ascii="Times New Roman" w:cs="Times New Roman" w:eastAsia="Times New Roman" w:hAnsi="Times New Roman"/>
          <w:i/>
          <w:iCs/>
          <w:sz w:val="24"/>
          <w:szCs w:val="24"/>
        </w:rPr>
        <w:t xml:space="preserve">Strongly Recommended as an addition. Process philosophy fills the temporal gap left by OSR and ISR, and directly supports the strange-attractor formalization of the analytic cure. A dedicated section in the thesis Introduction should position the subject as a processual entity in Whitehead/Rescher's sense.</w:t>
      </w:r>
    </w:p>
    <w:p>
      <w:pPr>
        <w:spacing w:after="160" w:before="400" w:line="480" w:lineRule="auto"/>
      </w:pPr>
      <w:r>
        <w:rPr>
          <w:rFonts w:ascii="Times New Roman" w:cs="Times New Roman" w:eastAsia="Times New Roman" w:hAnsi="Times New Roman"/>
          <w:b/>
          <w:bCs/>
          <w:sz w:val="24"/>
          <w:szCs w:val="24"/>
        </w:rPr>
        <w:t xml:space="preserve">6. New Mechanist Philosophy (Machamer, Darden, Craver)</w:t>
      </w:r>
    </w:p>
    <w:p>
      <w:pPr>
        <w:spacing w:after="240" w:before="0" w:line="480" w:lineRule="auto"/>
        <w:ind w:firstLine="720"/>
      </w:pPr>
      <w:r>
        <w:rPr>
          <w:rFonts w:ascii="Times New Roman" w:cs="Times New Roman" w:eastAsia="Times New Roman" w:hAnsi="Times New Roman"/>
          <w:sz w:val="24"/>
          <w:szCs w:val="24"/>
        </w:rPr>
        <w:t xml:space="preserve">The New Mechanist Philosophy (NMP), initiated by Machamer, Darden, and Craver (2000, 'Thinking about Mechanisms,' Philosophy of Science 67:1–25) and developed by Craver (2007, Explaining the Brain, OUP), holds that scientific explanation in the life sciences and cognitive science is mechanistic: to explain a phenomenon is to describe the mechanism that produces it — the entities, activities, and their organization.</w:t>
      </w:r>
    </w:p>
    <w:p>
      <w:pPr>
        <w:spacing w:after="240" w:before="0" w:line="480" w:lineRule="auto"/>
        <w:ind w:firstLine="720"/>
      </w:pPr>
      <w:r>
        <w:rPr>
          <w:rFonts w:ascii="Times New Roman" w:cs="Times New Roman" w:eastAsia="Times New Roman" w:hAnsi="Times New Roman"/>
          <w:sz w:val="24"/>
          <w:szCs w:val="24"/>
        </w:rPr>
        <w:t xml:space="preserve">NMP is not obviously applicable to a project that explicitly refuses to explain the subject by pointing to a neural mechanism. The thesis's claim is not that RSI is implemented by three neural mechanisms but that the three registers have the Borromean topology — a structural claim, not a mechanistic one. Craver (2007) distinguishes constitutive explanations (the mechanism that makes up the phenomenon) from etiological explanations (the mechanism that produces the phenomenon); the thesis is offering neither. It is offering what might be called a formal-structural explanation: specifying the formal structure of the phenomenon without committing to the specific mechanism.</w:t>
      </w:r>
    </w:p>
    <w:p>
      <w:pPr>
        <w:spacing w:after="240" w:before="0" w:line="480" w:lineRule="auto"/>
        <w:ind w:firstLine="720"/>
      </w:pPr>
      <w:r>
        <w:rPr>
          <w:rFonts w:ascii="Times New Roman" w:cs="Times New Roman" w:eastAsia="Times New Roman" w:hAnsi="Times New Roman"/>
          <w:sz w:val="24"/>
          <w:szCs w:val="24"/>
        </w:rPr>
        <w:t xml:space="preserve">However, NMP provides a useful contrast class that clarifies what the thesis is doing. The FEP is not a mechanistic account of the brain in Craver's sense — it is a mathematical framework that characterizes the formal structure of processes at multiple levels simultaneously. Craver himself has distinguished the FEP from mechanistic explanation, noting that the FEP's Markov-blanket formalism describes the formal structure of brain-environment interaction at a level of abstraction that does not specify the specific neural mechanisms. This is exactly the level at which the thesis operates.</w:t>
      </w:r>
    </w:p>
    <w:p>
      <w:pPr>
        <w:spacing w:after="240" w:before="0" w:line="480" w:lineRule="auto"/>
        <w:ind w:firstLine="720"/>
      </w:pPr>
      <w:r>
        <w:rPr>
          <w:rFonts w:ascii="Times New Roman" w:cs="Times New Roman" w:eastAsia="Times New Roman" w:hAnsi="Times New Roman"/>
          <w:sz w:val="24"/>
          <w:szCs w:val="24"/>
        </w:rPr>
        <w:t xml:space="preserve">The NMP is also useful for positioning the thesis against reductive mechanism: the thesis should explicitly state that it is not a mechanistic reduction of Lacanian concepts to neural processes, but a formal-structural account that is compatible with multiple mechanistic implementations.</w:t>
      </w:r>
    </w:p>
    <w:p>
      <w:pPr>
        <w:spacing w:after="200" w:before="0" w:line="480" w:lineRule="auto"/>
        <w:ind w:left="720" w:firstLine="0"/>
      </w:pPr>
      <w:r>
        <w:rPr>
          <w:rFonts w:ascii="Times New Roman" w:cs="Times New Roman" w:eastAsia="Times New Roman" w:hAnsi="Times New Roman"/>
          <w:b/>
          <w:bCs/>
          <w:sz w:val="24"/>
          <w:szCs w:val="24"/>
        </w:rPr>
        <w:t xml:space="preserve">Verdict: </w:t>
      </w:r>
      <w:r>
        <w:rPr>
          <w:rFonts w:ascii="Times New Roman" w:cs="Times New Roman" w:eastAsia="Times New Roman" w:hAnsi="Times New Roman"/>
          <w:i/>
          <w:iCs/>
          <w:sz w:val="24"/>
          <w:szCs w:val="24"/>
        </w:rPr>
        <w:t xml:space="preserve">Partially Applicable. Useful as a contrast class to clarify what the thesis is not doing. Should be mentioned briefly in the Introduction to distinguish formal-structural explanation from mechanistic explanation.</w:t>
      </w:r>
    </w:p>
    <w:p>
      <w:pPr>
        <w:spacing w:after="160" w:before="400" w:line="480" w:lineRule="auto"/>
      </w:pPr>
      <w:r>
        <w:rPr>
          <w:rFonts w:ascii="Times New Roman" w:cs="Times New Roman" w:eastAsia="Times New Roman" w:hAnsi="Times New Roman"/>
          <w:b/>
          <w:bCs/>
          <w:sz w:val="24"/>
          <w:szCs w:val="24"/>
        </w:rPr>
        <w:t xml:space="preserve">7. Scientific Pluralism (Dupré, Mitchell)</w:t>
      </w:r>
    </w:p>
    <w:p>
      <w:pPr>
        <w:spacing w:after="240" w:before="0" w:line="480" w:lineRule="auto"/>
        <w:ind w:firstLine="720"/>
      </w:pPr>
      <w:r>
        <w:rPr>
          <w:rFonts w:ascii="Times New Roman" w:cs="Times New Roman" w:eastAsia="Times New Roman" w:hAnsi="Times New Roman"/>
          <w:sz w:val="24"/>
          <w:szCs w:val="24"/>
        </w:rPr>
        <w:t xml:space="preserve">Scientific pluralism — the position that the world is genuinely disunified and that multiple scientific frameworks are needed to describe it, none of which is reducible to a single fundamental theory — is developed by Dupré (1993, The Disorder of Things: Metaphysical Foundations of the Disunity of Science, Harvard University Press) and Mitchell (2002, 'Integrative Pluralism,' Biology and Philosophy 17:55–70; 2008, Complexity and the Art of Public Policy, Princeton University Press).</w:t>
      </w:r>
    </w:p>
    <w:p>
      <w:pPr>
        <w:spacing w:after="240" w:before="0" w:line="480" w:lineRule="auto"/>
        <w:ind w:firstLine="720"/>
      </w:pPr>
      <w:r>
        <w:rPr>
          <w:rFonts w:ascii="Times New Roman" w:cs="Times New Roman" w:eastAsia="Times New Roman" w:hAnsi="Times New Roman"/>
          <w:sz w:val="24"/>
          <w:szCs w:val="24"/>
        </w:rPr>
        <w:t xml:space="preserve">Mitchell's 'integrative pluralism' is the most relevant variant: she argues that scientific explanations at different levels (molecular, cellular, organismic, behavioral) are genuinely distinct and cannot be reduced to each other, but they can be integrated through explicit account of the cross-level relations. This is directly applicable to the thesis: Lacanian theory, information geometry, and neuroscience are genuinely distinct frameworks that describe different aspects of the same subject, and the thesis's contribution is to specify the formal mappings between them — the integration that Mitchell calls for.</w:t>
      </w:r>
    </w:p>
    <w:p>
      <w:pPr>
        <w:spacing w:after="240" w:before="0" w:line="480" w:lineRule="auto"/>
        <w:ind w:firstLine="720"/>
      </w:pPr>
      <w:r>
        <w:rPr>
          <w:rFonts w:ascii="Times New Roman" w:cs="Times New Roman" w:eastAsia="Times New Roman" w:hAnsi="Times New Roman"/>
          <w:sz w:val="24"/>
          <w:szCs w:val="24"/>
        </w:rPr>
        <w:t xml:space="preserve">Scientific pluralism addresses a potential objection to the thesis: why not simply pick one framework and stick with it? Why use Lacanian theory at all, given that the FEP provides a complete formal account? Mitchell's integrative pluralism answers this: no single framework captures all the explanatory desiderata. The FEP captures the formal inference structure but not the clinical specificity; Lacanian theory captures the clinical structure but not the mathematical precision; information geometry provides the formal bridge. The integration is not a redundancy but a genuine increase in explanatory power.</w:t>
      </w:r>
    </w:p>
    <w:p>
      <w:pPr>
        <w:spacing w:after="200" w:before="0" w:line="480" w:lineRule="auto"/>
        <w:ind w:left="720" w:firstLine="0"/>
      </w:pPr>
      <w:r>
        <w:rPr>
          <w:rFonts w:ascii="Times New Roman" w:cs="Times New Roman" w:eastAsia="Times New Roman" w:hAnsi="Times New Roman"/>
          <w:b/>
          <w:bCs/>
          <w:sz w:val="24"/>
          <w:szCs w:val="24"/>
        </w:rPr>
        <w:t xml:space="preserve">Verdict: </w:t>
      </w:r>
      <w:r>
        <w:rPr>
          <w:rFonts w:ascii="Times New Roman" w:cs="Times New Roman" w:eastAsia="Times New Roman" w:hAnsi="Times New Roman"/>
          <w:i/>
          <w:iCs/>
          <w:sz w:val="24"/>
          <w:szCs w:val="24"/>
        </w:rPr>
        <w:t xml:space="preserve">Recommended as supplementary. Mitchell's integrative pluralism provides the epistemological grounding for the thesis's use of multiple frameworks simultaneously.</w:t>
      </w:r>
    </w:p>
    <w:p>
      <w:pPr>
        <w:spacing w:after="160" w:before="400" w:line="480" w:lineRule="auto"/>
      </w:pPr>
      <w:r>
        <w:rPr>
          <w:rFonts w:ascii="Times New Roman" w:cs="Times New Roman" w:eastAsia="Times New Roman" w:hAnsi="Times New Roman"/>
          <w:b/>
          <w:bCs/>
          <w:sz w:val="24"/>
          <w:szCs w:val="24"/>
        </w:rPr>
        <w:t xml:space="preserve">8. Transcendental Phenomenology and Naturalization (Husserl, Zahavi)</w:t>
      </w:r>
    </w:p>
    <w:p>
      <w:pPr>
        <w:spacing w:after="240" w:before="0" w:line="480" w:lineRule="auto"/>
        <w:ind w:firstLine="720"/>
      </w:pPr>
      <w:r>
        <w:rPr>
          <w:rFonts w:ascii="Times New Roman" w:cs="Times New Roman" w:eastAsia="Times New Roman" w:hAnsi="Times New Roman"/>
          <w:sz w:val="24"/>
          <w:szCs w:val="24"/>
        </w:rPr>
        <w:t xml:space="preserve">A recurring challenge for any naturalization of psychoanalysis is the status of subjective experience: jouissance is not merely a property of dynamical systems but a felt quality, an experienced excess. The question of whether the formal structures proposed by the thesis capture experience — or merely describe the conditions under which experience occurs — is the question of the 'explanatory gap' between third-person structural description and first-person phenomenal reality.</w:t>
      </w:r>
    </w:p>
    <w:p>
      <w:pPr>
        <w:spacing w:after="240" w:before="0" w:line="480" w:lineRule="auto"/>
        <w:ind w:firstLine="720"/>
      </w:pPr>
      <w:r>
        <w:rPr>
          <w:rFonts w:ascii="Times New Roman" w:cs="Times New Roman" w:eastAsia="Times New Roman" w:hAnsi="Times New Roman"/>
          <w:sz w:val="24"/>
          <w:szCs w:val="24"/>
        </w:rPr>
        <w:t xml:space="preserve">Transcendental phenomenology (Husserl 1913, Ideas I; Zahavi 2003, Husserl's Phenomenology, Stanford University Press) insists on the irreducibility of the first-person standpoint: structural-functional descriptions of experience always abstract from the concrete stream of consciousness, and what they abstract from is what phenomenology aims to describe. The naturalization project should acknowledge this limitation explicitly rather than pretending it doesn't exist.</w:t>
      </w:r>
    </w:p>
    <w:p>
      <w:pPr>
        <w:spacing w:after="240" w:before="0" w:line="480" w:lineRule="auto"/>
        <w:ind w:firstLine="720"/>
      </w:pPr>
      <w:r>
        <w:rPr>
          <w:rFonts w:ascii="Times New Roman" w:cs="Times New Roman" w:eastAsia="Times New Roman" w:hAnsi="Times New Roman"/>
          <w:sz w:val="24"/>
          <w:szCs w:val="24"/>
        </w:rPr>
        <w:t xml:space="preserve">Phenomenological naturalization (Gallagher and Zahavi 2008, The Phenomenological Mind, Routledge; Thompson 2007, Mind in Life, Harvard University Press) attempts to integrate phenomenological description with cognitive science while preserving the first-person standpoint. The enactivist tradition (Varela, Thompson, Rosch 1991; Di Paolo et al.) is the most developed form of phenomenological naturalization and has already been engaged by the thesis (vis-à-vis the Markov blanket debate).</w:t>
      </w:r>
    </w:p>
    <w:p>
      <w:pPr>
        <w:spacing w:after="240" w:before="0" w:line="480" w:lineRule="auto"/>
        <w:ind w:firstLine="720"/>
      </w:pPr>
      <w:r>
        <w:rPr>
          <w:rFonts w:ascii="Times New Roman" w:cs="Times New Roman" w:eastAsia="Times New Roman" w:hAnsi="Times New Roman"/>
          <w:sz w:val="24"/>
          <w:szCs w:val="24"/>
        </w:rPr>
        <w:t xml:space="preserve">The specific application: the thesis should acknowledge that the formal structures it proposes (solenoidal flow as jouissance, statistical manifold trajectory as the subject) are third-person formal descriptions of what Lacanian theory describes from the first-person standpoint. The formal structures capture the structure of jouissance — what makes it an irreducible surplus — without capturing the phenomenal character of what that surplus feels like. This is not a failure of the thesis but an honest acknowledgment of the level at which formal description operates.</w:t>
      </w:r>
    </w:p>
    <w:p>
      <w:pPr>
        <w:spacing w:after="200" w:before="0" w:line="480" w:lineRule="auto"/>
        <w:ind w:left="720" w:firstLine="0"/>
      </w:pPr>
      <w:r>
        <w:rPr>
          <w:rFonts w:ascii="Times New Roman" w:cs="Times New Roman" w:eastAsia="Times New Roman" w:hAnsi="Times New Roman"/>
          <w:b/>
          <w:bCs/>
          <w:sz w:val="24"/>
          <w:szCs w:val="24"/>
        </w:rPr>
        <w:t xml:space="preserve">Verdict: </w:t>
      </w:r>
      <w:r>
        <w:rPr>
          <w:rFonts w:ascii="Times New Roman" w:cs="Times New Roman" w:eastAsia="Times New Roman" w:hAnsi="Times New Roman"/>
          <w:i/>
          <w:iCs/>
          <w:sz w:val="24"/>
          <w:szCs w:val="24"/>
        </w:rPr>
        <w:t xml:space="preserve">Partially Applicable. The phenomenological tradition clarifies the thesis's epistemic limits: the formal structures describe the structural conditions of experience, not experience itself. Should be acknowledged in the Conclusion's 'What Was Discarded' section.</w:t>
      </w:r>
    </w:p>
    <w:p>
      <w:pPr>
        <w:spacing w:after="160" w:before="400" w:line="480" w:lineRule="auto"/>
      </w:pPr>
      <w:r>
        <w:rPr>
          <w:rFonts w:ascii="Times New Roman" w:cs="Times New Roman" w:eastAsia="Times New Roman" w:hAnsi="Times New Roman"/>
          <w:b/>
          <w:bCs/>
          <w:sz w:val="24"/>
          <w:szCs w:val="24"/>
        </w:rPr>
        <w:t xml:space="preserve">9. Pragmatism and Functional Explanation (Dewey, Peirce, Rorty)</w:t>
      </w:r>
    </w:p>
    <w:p>
      <w:pPr>
        <w:spacing w:after="240" w:before="0" w:line="480" w:lineRule="auto"/>
        <w:ind w:firstLine="720"/>
      </w:pPr>
      <w:r>
        <w:rPr>
          <w:rFonts w:ascii="Times New Roman" w:cs="Times New Roman" w:eastAsia="Times New Roman" w:hAnsi="Times New Roman"/>
          <w:sz w:val="24"/>
          <w:szCs w:val="24"/>
        </w:rPr>
        <w:t xml:space="preserve">The pragmatist tradition — from Peirce's semiotics and Dewey's instrumentalism through Rorty's neo-pragmatism — holds that theoretical claims are evaluated not by their correspondence to mind-independent reality but by their pragmatic efficacy: their usefulness for prediction, explanation, and practical guidance. A pragmatist reading of the thesis would assess its formal structures not by asking whether they are 'really' tracking the Lacanian subject but by asking whether they generate useful predictions, guide useful research, and improve our understanding of clinical phenomena.</w:t>
      </w:r>
    </w:p>
    <w:p>
      <w:pPr>
        <w:spacing w:after="240" w:before="0" w:line="480" w:lineRule="auto"/>
        <w:ind w:firstLine="720"/>
      </w:pPr>
      <w:r>
        <w:rPr>
          <w:rFonts w:ascii="Times New Roman" w:cs="Times New Roman" w:eastAsia="Times New Roman" w:hAnsi="Times New Roman"/>
          <w:sz w:val="24"/>
          <w:szCs w:val="24"/>
        </w:rPr>
        <w:t xml:space="preserve">The pragmatist reading is not the right primary framing for the thesis because the thesis makes substantive ontological claims (the formal structures track real patterns) rather than merely pragmatic ones (the formal structures are useful tools). But the pragmatist dimension is genuine and should be acknowledged: the strongest justification for the formal program is its clinical utility — the specific predictions in §10.5 and the computational models of clinical structures are valuable independently of their ontological grounding.</w:t>
      </w:r>
    </w:p>
    <w:p>
      <w:pPr>
        <w:spacing w:after="240" w:before="0" w:line="480" w:lineRule="auto"/>
        <w:ind w:firstLine="720"/>
      </w:pPr>
      <w:r>
        <w:rPr>
          <w:rFonts w:ascii="Times New Roman" w:cs="Times New Roman" w:eastAsia="Times New Roman" w:hAnsi="Times New Roman"/>
          <w:sz w:val="24"/>
          <w:szCs w:val="24"/>
        </w:rPr>
        <w:t xml:space="preserve">Peirce's semiotics is also relevant through a less obvious connection: the Lacanian signifier is a semiotic entity in Peirce's sense (a representamen in a sign relation), and the information-geometric hidden state is a representamen in the FEP's generative model. The formal homology between Peircean semiotics and the FEP's representational framework has been developed by Ramstead et al. (2020, 'Is the Free-Energy Principle a Formal Theory of Semantics?') and provides a semiotic grounding for the thesis's claim that the FEP provides a naturalistic account of the Lacanian signifier.</w:t>
      </w:r>
    </w:p>
    <w:p>
      <w:pPr>
        <w:spacing w:after="200" w:before="0" w:line="480" w:lineRule="auto"/>
        <w:ind w:left="720" w:firstLine="0"/>
      </w:pPr>
      <w:r>
        <w:rPr>
          <w:rFonts w:ascii="Times New Roman" w:cs="Times New Roman" w:eastAsia="Times New Roman" w:hAnsi="Times New Roman"/>
          <w:b/>
          <w:bCs/>
          <w:sz w:val="24"/>
          <w:szCs w:val="24"/>
        </w:rPr>
        <w:t xml:space="preserve">Verdict: </w:t>
      </w:r>
      <w:r>
        <w:rPr>
          <w:rFonts w:ascii="Times New Roman" w:cs="Times New Roman" w:eastAsia="Times New Roman" w:hAnsi="Times New Roman"/>
          <w:i/>
          <w:iCs/>
          <w:sz w:val="24"/>
          <w:szCs w:val="24"/>
        </w:rPr>
        <w:t xml:space="preserve">Partially Applicable. The pragmatist dimension should be acknowledged in the Introduction: the formal program is valuable regardless of its ultimate ontological grounding, and its clinical utility is a genuine (if not sufficient) justification.</w:t>
      </w:r>
    </w:p>
    <w:p>
      <w:r>
        <w:br w:type="page"/>
      </w:r>
    </w:p>
    <w:p>
      <w:pPr>
        <w:spacing w:after="280" w:before="560" w:line="480" w:lineRule="auto"/>
      </w:pPr>
      <w:r>
        <w:rPr>
          <w:rFonts w:ascii="Times New Roman" w:cs="Times New Roman" w:eastAsia="Times New Roman" w:hAnsi="Times New Roman"/>
          <w:b/>
          <w:bCs/>
          <w:sz w:val="28"/>
          <w:szCs w:val="28"/>
        </w:rPr>
        <w:t xml:space="preserve">III. Framework Assessment Summary</w:t>
      </w:r>
    </w:p>
    <w:p>
      <w:pPr>
        <w:spacing w:after="240" w:before="0" w:line="480" w:lineRule="auto"/>
        <w:ind w:firstLine="720"/>
      </w:pPr>
      <w:r>
        <w:rPr>
          <w:rFonts w:ascii="Times New Roman" w:cs="Times New Roman" w:eastAsia="Times New Roman" w:hAnsi="Times New Roman"/>
          <w:sz w:val="24"/>
          <w:szCs w:val="24"/>
        </w:rPr>
        <w:t xml:space="preserve">The following combinations are recommended for the thesis:</w:t>
      </w:r>
    </w:p>
    <w:p>
      <w:pPr>
        <w:spacing w:after="240" w:before="0" w:line="480" w:lineRule="auto"/>
        <w:ind w:firstLine="720"/>
      </w:pPr>
      <w:r>
        <w:rPr>
          <w:rFonts w:ascii="Times New Roman" w:cs="Times New Roman" w:eastAsia="Times New Roman" w:hAnsi="Times New Roman"/>
          <w:sz w:val="24"/>
          <w:szCs w:val="24"/>
        </w:rPr>
        <w:t xml:space="preserve">Primary epistemological framing: Carnapian formal explication (what the thesis does, chapter by chapter) + Non-eliminativist OSR (what the thesis claims about the ontological status of its formal structures) + Lakatosian research programme (what the thesis claims about its scientific standing).</w:t>
      </w:r>
    </w:p>
    <w:p>
      <w:pPr>
        <w:spacing w:after="240" w:before="0" w:line="480" w:lineRule="auto"/>
        <w:ind w:firstLine="720"/>
      </w:pPr>
      <w:r>
        <w:rPr>
          <w:rFonts w:ascii="Times New Roman" w:cs="Times New Roman" w:eastAsia="Times New Roman" w:hAnsi="Times New Roman"/>
          <w:sz w:val="24"/>
          <w:szCs w:val="24"/>
        </w:rPr>
        <w:t xml:space="preserve">Secondary epistemological framing: Floridi ISR / Beni CSR (how the thesis handles cross-level correspondence) + Mitchell's integrative pluralism (why multiple frameworks are used simultaneously) + Process philosophy (how the temporal, processual character of the subject is grounded).</w:t>
      </w:r>
    </w:p>
    <w:p>
      <w:pPr>
        <w:spacing w:after="240" w:before="0" w:line="480" w:lineRule="auto"/>
        <w:ind w:firstLine="720"/>
      </w:pPr>
      <w:r>
        <w:rPr>
          <w:rFonts w:ascii="Times New Roman" w:cs="Times New Roman" w:eastAsia="Times New Roman" w:hAnsi="Times New Roman"/>
          <w:sz w:val="24"/>
          <w:szCs w:val="24"/>
        </w:rPr>
        <w:t xml:space="preserve">Acknowledged limits: transcendental phenomenology (what the formal structures cannot capture: the phenomenal character of experience) + New mechanist philosophy (what the thesis is not: a mechanistic reduction).</w:t>
      </w:r>
    </w:p>
    <w:p>
      <w:pPr>
        <w:spacing w:after="240" w:before="0" w:line="480" w:lineRule="auto"/>
        <w:ind w:firstLine="720"/>
      </w:pPr>
      <w:r>
        <w:rPr>
          <w:rFonts w:ascii="Times New Roman" w:cs="Times New Roman" w:eastAsia="Times New Roman" w:hAnsi="Times New Roman"/>
          <w:sz w:val="24"/>
          <w:szCs w:val="24"/>
        </w:rPr>
        <w:t xml:space="preserve">Not recommended for this project: purely instrumentalist pragmatism (the thesis makes substantive ontological claims), eliminativist OSR (incompatible with clinical commitments), Quinean replacement naturalism (too eliminativist).</w:t>
      </w:r>
    </w:p>
    <w:p>
      <w:r>
        <w:br w:type="page"/>
      </w:r>
    </w:p>
    <w:p>
      <w:pPr>
        <w:spacing w:after="280" w:before="560" w:line="480" w:lineRule="auto"/>
      </w:pPr>
      <w:r>
        <w:rPr>
          <w:rFonts w:ascii="Times New Roman" w:cs="Times New Roman" w:eastAsia="Times New Roman" w:hAnsi="Times New Roman"/>
          <w:b/>
          <w:bCs/>
          <w:sz w:val="28"/>
          <w:szCs w:val="28"/>
        </w:rPr>
        <w:t xml:space="preserve">IV. What Needs to Be Added to the Thesis</w:t>
      </w:r>
    </w:p>
    <w:p>
      <w:pPr>
        <w:spacing w:after="160" w:before="400" w:line="480" w:lineRule="auto"/>
      </w:pPr>
      <w:r>
        <w:rPr>
          <w:rFonts w:ascii="Times New Roman" w:cs="Times New Roman" w:eastAsia="Times New Roman" w:hAnsi="Times New Roman"/>
          <w:b/>
          <w:bCs/>
          <w:sz w:val="24"/>
          <w:szCs w:val="24"/>
        </w:rPr>
        <w:t xml:space="preserve">A. Process philosophy section (new, in Introduction)</w:t>
      </w:r>
    </w:p>
    <w:p>
      <w:pPr>
        <w:spacing w:after="240" w:before="0" w:line="480" w:lineRule="auto"/>
        <w:ind w:firstLine="720"/>
      </w:pPr>
      <w:r>
        <w:rPr>
          <w:rFonts w:ascii="Times New Roman" w:cs="Times New Roman" w:eastAsia="Times New Roman" w:hAnsi="Times New Roman"/>
          <w:sz w:val="24"/>
          <w:szCs w:val="24"/>
        </w:rPr>
        <w:t xml:space="preserve">A new subsection §V.c 'The Subject as Process: Whitehead and Temporal Ontology' should be added after the Lakatos section. The argument: the subject formalized by the thesis is not a substance but a process — a non-stationary trajectory on the statistical manifold whose identity is constituted by its temporal dynamics rather than by any state it occupies. This is Whitehead's 'actual occasion' applied to the subject: the subject is what it does, not what it is. The strange attractor formalization of the analytic cure is the mathematical expression of this: the 'cured' subject is not a terminal state but a bounded, chaotic process — always moving, constituted by its motion.</w:t>
      </w:r>
    </w:p>
    <w:p>
      <w:pPr>
        <w:spacing w:after="240" w:before="0" w:line="480" w:lineRule="auto"/>
        <w:ind w:firstLine="720"/>
      </w:pPr>
      <w:r>
        <w:rPr>
          <w:rFonts w:ascii="Times New Roman" w:cs="Times New Roman" w:eastAsia="Times New Roman" w:hAnsi="Times New Roman"/>
          <w:sz w:val="24"/>
          <w:szCs w:val="24"/>
        </w:rPr>
        <w:t xml:space="preserve">Key references to add: Whitehead, A. N. (1929). Process and reality: An essay in cosmology. Macmillan. Rescher, N. (1996). Process metaphysics: An introduction to process philosophy. SUNY Press. Northrop, G. (2020). Neuroscience and Whitehead II: Process-based ontology of brain. Global Philosophy, 26(2), 1–20. Seibt, J. (2017). Process philosophy. Stanford Encyclopedia of Philosophy.</w:t>
      </w:r>
    </w:p>
    <w:p>
      <w:pPr>
        <w:spacing w:after="160" w:before="400" w:line="480" w:lineRule="auto"/>
      </w:pPr>
      <w:r>
        <w:rPr>
          <w:rFonts w:ascii="Times New Roman" w:cs="Times New Roman" w:eastAsia="Times New Roman" w:hAnsi="Times New Roman"/>
          <w:b/>
          <w:bCs/>
          <w:sz w:val="24"/>
          <w:szCs w:val="24"/>
        </w:rPr>
        <w:t xml:space="preserve">B. Beni CSR reference (addition to existing OSR section)</w:t>
      </w:r>
    </w:p>
    <w:p>
      <w:pPr>
        <w:spacing w:after="240" w:before="0" w:line="480" w:lineRule="auto"/>
        <w:ind w:firstLine="720"/>
      </w:pPr>
      <w:r>
        <w:rPr>
          <w:rFonts w:ascii="Times New Roman" w:cs="Times New Roman" w:eastAsia="Times New Roman" w:hAnsi="Times New Roman"/>
          <w:sz w:val="24"/>
          <w:szCs w:val="24"/>
        </w:rPr>
        <w:t xml:space="preserve">The existing §V.b OSR section should cite Beni (2019) explicitly: 'Beni (2019, Cognitive Structural Realism: A Radical Solution to the Problem of Scientific Representation, Springer Studies in Brain and Mind, vol. 14) develops a variant of Floridi's ISR that uses the FEP specifically — cognitive structural realism (CSR) characterizes scientific representations in terms of cognitive structures that are informational structures embodied in scientists' generative models (Beni 2016, 2019a). CSR makes the FEP not merely a model of the brain but the epistemological framework within which scientific representation itself is to be understood. On this reading, the thesis's formal program — the information-geometric formalization of the Lacanian subject — is a cognitive structure in the CSR sense, real relative to the information-geometric level of abstraction.'</w:t>
      </w:r>
    </w:p>
    <w:p>
      <w:pPr>
        <w:spacing w:after="160" w:before="400" w:line="480" w:lineRule="auto"/>
      </w:pPr>
      <w:r>
        <w:rPr>
          <w:rFonts w:ascii="Times New Roman" w:cs="Times New Roman" w:eastAsia="Times New Roman" w:hAnsi="Times New Roman"/>
          <w:b/>
          <w:bCs/>
          <w:sz w:val="24"/>
          <w:szCs w:val="24"/>
        </w:rPr>
        <w:t xml:space="preserve">C. French OSR elimination note (addition to existing OSR section)</w:t>
      </w:r>
    </w:p>
    <w:p>
      <w:pPr>
        <w:spacing w:after="240" w:before="0" w:line="480" w:lineRule="auto"/>
        <w:ind w:firstLine="720"/>
      </w:pPr>
      <w:r>
        <w:rPr>
          <w:rFonts w:ascii="Times New Roman" w:cs="Times New Roman" w:eastAsia="Times New Roman" w:hAnsi="Times New Roman"/>
          <w:sz w:val="24"/>
          <w:szCs w:val="24"/>
        </w:rPr>
        <w:t xml:space="preserve">The existing §V.b section should distinguish the eliminativist and non-eliminativist versions: 'The eliminativist variant of OSR (French 2014, The Structure of the World: Metaphysics and Representation, OUP) holds that objects are eliminated from the fundamental ontology in favor of structures — there are, strictly speaking, no subjects, only subject-structures. This version is philosophically incompatible with the clinical commitments of the present thesis: the thesis's subject is not a figment to be paraphrased away but a node in a relational structure whose structural position constitutes its clinical reality. The non-eliminativist version (Ladyman &amp; Ross 2007; Ladyman &amp; Lorenzetti 2022) is the correct reading: entities are real as structural nodes, not eliminated. The elimination is with respect to substance, not with respect to the entity itself.'</w:t>
      </w:r>
    </w:p>
    <w:p>
      <w:pPr>
        <w:spacing w:after="160" w:before="400" w:line="480" w:lineRule="auto"/>
      </w:pPr>
      <w:r>
        <w:rPr>
          <w:rFonts w:ascii="Times New Roman" w:cs="Times New Roman" w:eastAsia="Times New Roman" w:hAnsi="Times New Roman"/>
          <w:b/>
          <w:bCs/>
          <w:sz w:val="24"/>
          <w:szCs w:val="24"/>
        </w:rPr>
        <w:t xml:space="preserve">D. Integrative pluralism paragraph (addition to Introduction)</w:t>
      </w:r>
    </w:p>
    <w:p>
      <w:pPr>
        <w:spacing w:after="240" w:before="0" w:line="480" w:lineRule="auto"/>
        <w:ind w:firstLine="720"/>
      </w:pPr>
      <w:r>
        <w:rPr>
          <w:rFonts w:ascii="Times New Roman" w:cs="Times New Roman" w:eastAsia="Times New Roman" w:hAnsi="Times New Roman"/>
          <w:sz w:val="24"/>
          <w:szCs w:val="24"/>
        </w:rPr>
        <w:t xml:space="preserve">After the existing two-direction commitment section, add a paragraph: 'The multiplicity of frameworks in the thesis — Lacanian psychoanalysis, information geometry, the FEP, knot theory, set theory, HoTT — is not an eclectic gathering but an instance of what Mitchell (2002) calls integrative pluralism: the recognition that no single framework captures all explanatory desiderata, and that the integration of multiple distinct frameworks can produce explanatory power that no single framework achieves alone. The integration is formal, not merely metaphorical: the mappings between frameworks are mathematical objects (the information-geometric formalization of the signifier, the Ising-IRT bridge, the category-theoretic natural transformation of the analytic process), not merely suggestive analogies. The multiple frameworks are descriptions at different levels of abstraction of the same structural patterns.'</w:t>
      </w:r>
    </w:p>
    <w:p>
      <w:r>
        <w:br w:type="page"/>
      </w:r>
    </w:p>
    <w:p>
      <w:pPr>
        <w:spacing w:after="280" w:before="560" w:line="480" w:lineRule="auto"/>
      </w:pPr>
      <w:r>
        <w:rPr>
          <w:rFonts w:ascii="Times New Roman" w:cs="Times New Roman" w:eastAsia="Times New Roman" w:hAnsi="Times New Roman"/>
          <w:b/>
          <w:bCs/>
          <w:sz w:val="28"/>
          <w:szCs w:val="28"/>
        </w:rPr>
        <w:t xml:space="preserve">V. References for Epistemology Additions</w:t>
      </w:r>
    </w:p>
    <w:p>
      <w:pPr>
        <w:spacing w:after="80" w:before="0" w:line="480" w:lineRule="auto"/>
        <w:ind w:left="720" w:hanging="720"/>
      </w:pPr>
      <w:r>
        <w:rPr>
          <w:rFonts w:ascii="Times New Roman" w:cs="Times New Roman" w:eastAsia="Times New Roman" w:hAnsi="Times New Roman"/>
          <w:sz w:val="20"/>
          <w:szCs w:val="20"/>
        </w:rPr>
        <w:t xml:space="preserve">Beni, M. D. (2019). Cognitive structural realism: A radical solution to the problem of scientific representation (Studies in Brain and Mind, vol. 14). Springer.</w:t>
      </w:r>
    </w:p>
    <w:p>
      <w:pPr>
        <w:spacing w:after="80" w:before="0" w:line="480" w:lineRule="auto"/>
        <w:ind w:left="720" w:hanging="720"/>
      </w:pPr>
      <w:r>
        <w:rPr>
          <w:rFonts w:ascii="Times New Roman" w:cs="Times New Roman" w:eastAsia="Times New Roman" w:hAnsi="Times New Roman"/>
          <w:sz w:val="20"/>
          <w:szCs w:val="20"/>
        </w:rPr>
        <w:t xml:space="preserve">Beni, M. D. (2021). Inflating the social aspects of cognitive structural realism. European Journal for Philosophy of Science, 11(3), 1–18.</w:t>
      </w:r>
    </w:p>
    <w:p>
      <w:pPr>
        <w:spacing w:after="80" w:before="0" w:line="480" w:lineRule="auto"/>
        <w:ind w:left="720" w:hanging="720"/>
      </w:pPr>
      <w:r>
        <w:rPr>
          <w:rFonts w:ascii="Times New Roman" w:cs="Times New Roman" w:eastAsia="Times New Roman" w:hAnsi="Times New Roman"/>
          <w:sz w:val="20"/>
          <w:szCs w:val="20"/>
        </w:rPr>
        <w:t xml:space="preserve">Craver, C. F. (2007). Explaining the brain: Mechanisms and the mosaic unity of neuroscience. Oxford University Press.</w:t>
      </w:r>
    </w:p>
    <w:p>
      <w:pPr>
        <w:spacing w:after="80" w:before="0" w:line="480" w:lineRule="auto"/>
        <w:ind w:left="720" w:hanging="720"/>
      </w:pPr>
      <w:r>
        <w:rPr>
          <w:rFonts w:ascii="Times New Roman" w:cs="Times New Roman" w:eastAsia="Times New Roman" w:hAnsi="Times New Roman"/>
          <w:sz w:val="20"/>
          <w:szCs w:val="20"/>
        </w:rPr>
        <w:t xml:space="preserve">Dennett, D. C. (1991). Real patterns. Journal of Philosophy, 88(1), 27–51.</w:t>
      </w:r>
    </w:p>
    <w:p>
      <w:pPr>
        <w:spacing w:after="80" w:before="0" w:line="480" w:lineRule="auto"/>
        <w:ind w:left="720" w:hanging="720"/>
      </w:pPr>
      <w:r>
        <w:rPr>
          <w:rFonts w:ascii="Times New Roman" w:cs="Times New Roman" w:eastAsia="Times New Roman" w:hAnsi="Times New Roman"/>
          <w:sz w:val="20"/>
          <w:szCs w:val="20"/>
        </w:rPr>
        <w:t xml:space="preserve">Dupré, J. (1993). The disorder of things: Metaphysical foundations of the disunity of science. Harvard University Press.</w:t>
      </w:r>
    </w:p>
    <w:p>
      <w:pPr>
        <w:spacing w:after="80" w:before="0" w:line="480" w:lineRule="auto"/>
        <w:ind w:left="720" w:hanging="720"/>
      </w:pPr>
      <w:r>
        <w:rPr>
          <w:rFonts w:ascii="Times New Roman" w:cs="Times New Roman" w:eastAsia="Times New Roman" w:hAnsi="Times New Roman"/>
          <w:sz w:val="20"/>
          <w:szCs w:val="20"/>
        </w:rPr>
        <w:t xml:space="preserve">Floridi, L. (2003). Informational realism. In J. Weckert &amp; Y. Al-Saggaf (Eds.), Selected papers from conference on computers and philosophy (pp. 7–12). Australian Computer Society.</w:t>
      </w:r>
    </w:p>
    <w:p>
      <w:pPr>
        <w:spacing w:after="80" w:before="0" w:line="480" w:lineRule="auto"/>
        <w:ind w:left="720" w:hanging="720"/>
      </w:pPr>
      <w:r>
        <w:rPr>
          <w:rFonts w:ascii="Times New Roman" w:cs="Times New Roman" w:eastAsia="Times New Roman" w:hAnsi="Times New Roman"/>
          <w:sz w:val="20"/>
          <w:szCs w:val="20"/>
        </w:rPr>
        <w:t xml:space="preserve">Floridi, L. (2008). The method of levels of abstraction. Minds and Machines, 18(3), 303–329.</w:t>
      </w:r>
    </w:p>
    <w:p>
      <w:pPr>
        <w:spacing w:after="80" w:before="0" w:line="480" w:lineRule="auto"/>
        <w:ind w:left="720" w:hanging="720"/>
      </w:pPr>
      <w:r>
        <w:rPr>
          <w:rFonts w:ascii="Times New Roman" w:cs="Times New Roman" w:eastAsia="Times New Roman" w:hAnsi="Times New Roman"/>
          <w:sz w:val="20"/>
          <w:szCs w:val="20"/>
        </w:rPr>
        <w:t xml:space="preserve">French, S. (2014). The structure of the world: Metaphysics and representation. Oxford University Press.</w:t>
      </w:r>
    </w:p>
    <w:p>
      <w:pPr>
        <w:spacing w:after="80" w:before="0" w:line="480" w:lineRule="auto"/>
        <w:ind w:left="720" w:hanging="720"/>
      </w:pPr>
      <w:r>
        <w:rPr>
          <w:rFonts w:ascii="Times New Roman" w:cs="Times New Roman" w:eastAsia="Times New Roman" w:hAnsi="Times New Roman"/>
          <w:sz w:val="20"/>
          <w:szCs w:val="20"/>
        </w:rPr>
        <w:t xml:space="preserve">Gallagher, S., &amp; Zahavi, D. (2008). The phenomenological mind: An introduction to philosophy of mind and cognitive science. Routledge.</w:t>
      </w:r>
    </w:p>
    <w:p>
      <w:pPr>
        <w:spacing w:after="80" w:before="0" w:line="480" w:lineRule="auto"/>
        <w:ind w:left="720" w:hanging="720"/>
      </w:pPr>
      <w:r>
        <w:rPr>
          <w:rFonts w:ascii="Times New Roman" w:cs="Times New Roman" w:eastAsia="Times New Roman" w:hAnsi="Times New Roman"/>
          <w:sz w:val="20"/>
          <w:szCs w:val="20"/>
        </w:rPr>
        <w:t xml:space="preserve">Ladyman, J., &amp; Ross, D. (with Spurrett, D., &amp; Collier, J.). (2007). Every thing must go: Metaphysics naturalized. Oxford University Press.</w:t>
      </w:r>
    </w:p>
    <w:p>
      <w:pPr>
        <w:spacing w:after="80" w:before="0" w:line="480" w:lineRule="auto"/>
        <w:ind w:left="720" w:hanging="720"/>
      </w:pPr>
      <w:r>
        <w:rPr>
          <w:rFonts w:ascii="Times New Roman" w:cs="Times New Roman" w:eastAsia="Times New Roman" w:hAnsi="Times New Roman"/>
          <w:sz w:val="20"/>
          <w:szCs w:val="20"/>
        </w:rPr>
        <w:t xml:space="preserve">Ladyman, J., &amp; Lorenzetti, L. (2022). Effective ontic structural realism. British Journal for the Philosophy of Science. https://doi.org/10.1086/719526</w:t>
      </w:r>
    </w:p>
    <w:p>
      <w:pPr>
        <w:spacing w:after="80" w:before="0" w:line="480" w:lineRule="auto"/>
        <w:ind w:left="720" w:hanging="720"/>
      </w:pPr>
      <w:r>
        <w:rPr>
          <w:rFonts w:ascii="Times New Roman" w:cs="Times New Roman" w:eastAsia="Times New Roman" w:hAnsi="Times New Roman"/>
          <w:sz w:val="20"/>
          <w:szCs w:val="20"/>
        </w:rPr>
        <w:t xml:space="preserve">Lakatos, I. (1978). The methodology of scientific research programmes: Philosophical papers, Vol. 1 (J. Worrall &amp; G. Currie, Eds.). Cambridge University Press.</w:t>
      </w:r>
    </w:p>
    <w:p>
      <w:pPr>
        <w:spacing w:after="80" w:before="0" w:line="480" w:lineRule="auto"/>
        <w:ind w:left="720" w:hanging="720"/>
      </w:pPr>
      <w:r>
        <w:rPr>
          <w:rFonts w:ascii="Times New Roman" w:cs="Times New Roman" w:eastAsia="Times New Roman" w:hAnsi="Times New Roman"/>
          <w:sz w:val="20"/>
          <w:szCs w:val="20"/>
        </w:rPr>
        <w:t xml:space="preserve">Machamer, P. K., Darden, L., &amp; Craver, C. F. (2000). Thinking about mechanisms. Philosophy of Science, 67(1), 1–25.</w:t>
      </w:r>
    </w:p>
    <w:p>
      <w:pPr>
        <w:spacing w:after="80" w:before="0" w:line="480" w:lineRule="auto"/>
        <w:ind w:left="720" w:hanging="720"/>
      </w:pPr>
      <w:r>
        <w:rPr>
          <w:rFonts w:ascii="Times New Roman" w:cs="Times New Roman" w:eastAsia="Times New Roman" w:hAnsi="Times New Roman"/>
          <w:sz w:val="20"/>
          <w:szCs w:val="20"/>
        </w:rPr>
        <w:t xml:space="preserve">Mitchell, S. D. (2002). Integrative pluralism. Biology and Philosophy, 17(1), 55–70.</w:t>
      </w:r>
    </w:p>
    <w:p>
      <w:pPr>
        <w:spacing w:after="80" w:before="0" w:line="480" w:lineRule="auto"/>
        <w:ind w:left="720" w:hanging="720"/>
      </w:pPr>
      <w:r>
        <w:rPr>
          <w:rFonts w:ascii="Times New Roman" w:cs="Times New Roman" w:eastAsia="Times New Roman" w:hAnsi="Times New Roman"/>
          <w:sz w:val="20"/>
          <w:szCs w:val="20"/>
        </w:rPr>
        <w:t xml:space="preserve">Northrop, G. (2020). Neuroscience and Whitehead II: Process-based ontology of brain. Global Philosophy, 26(2), 1–20.</w:t>
      </w:r>
    </w:p>
    <w:p>
      <w:pPr>
        <w:spacing w:after="80" w:before="0" w:line="480" w:lineRule="auto"/>
        <w:ind w:left="720" w:hanging="720"/>
      </w:pPr>
      <w:r>
        <w:rPr>
          <w:rFonts w:ascii="Times New Roman" w:cs="Times New Roman" w:eastAsia="Times New Roman" w:hAnsi="Times New Roman"/>
          <w:sz w:val="20"/>
          <w:szCs w:val="20"/>
        </w:rPr>
        <w:t xml:space="preserve">Ramstead, M. J. D., Kiefer, A., &amp; Friston, K. J. (2020). Is the free-energy principle a formal theory of semantics? From variational density dynamics to neural and phenotypic representations. Physics of Life Reviews, 24, 1–16.</w:t>
      </w:r>
    </w:p>
    <w:p>
      <w:pPr>
        <w:spacing w:after="80" w:before="0" w:line="480" w:lineRule="auto"/>
        <w:ind w:left="720" w:hanging="720"/>
      </w:pPr>
      <w:r>
        <w:rPr>
          <w:rFonts w:ascii="Times New Roman" w:cs="Times New Roman" w:eastAsia="Times New Roman" w:hAnsi="Times New Roman"/>
          <w:sz w:val="20"/>
          <w:szCs w:val="20"/>
        </w:rPr>
        <w:t xml:space="preserve">Rescher, N. (1996). Process metaphysics: An introduction to process philosophy. SUNY Press.</w:t>
      </w:r>
    </w:p>
    <w:p>
      <w:pPr>
        <w:spacing w:after="80" w:before="0" w:line="480" w:lineRule="auto"/>
        <w:ind w:left="720" w:hanging="720"/>
      </w:pPr>
      <w:r>
        <w:rPr>
          <w:rFonts w:ascii="Times New Roman" w:cs="Times New Roman" w:eastAsia="Times New Roman" w:hAnsi="Times New Roman"/>
          <w:sz w:val="20"/>
          <w:szCs w:val="20"/>
        </w:rPr>
        <w:t xml:space="preserve">Seibt, J. (2017). Process philosophy. In E. N. Zalta (Ed.), Stanford Encyclopedia of Philosophy. https://plato.stanford.edu/entries/process-philosophy/</w:t>
      </w:r>
    </w:p>
    <w:p>
      <w:pPr>
        <w:spacing w:after="80" w:before="0" w:line="480" w:lineRule="auto"/>
        <w:ind w:left="720" w:hanging="720"/>
      </w:pPr>
      <w:r>
        <w:rPr>
          <w:rFonts w:ascii="Times New Roman" w:cs="Times New Roman" w:eastAsia="Times New Roman" w:hAnsi="Times New Roman"/>
          <w:sz w:val="20"/>
          <w:szCs w:val="20"/>
        </w:rPr>
        <w:t xml:space="preserve">Thompson, E. (2007). Mind in life: Biology, phenomenology, and the sciences of mind. Harvard University Press.</w:t>
      </w:r>
    </w:p>
    <w:p>
      <w:pPr>
        <w:spacing w:after="80" w:before="0" w:line="480" w:lineRule="auto"/>
        <w:ind w:left="720" w:hanging="720"/>
      </w:pPr>
      <w:r>
        <w:rPr>
          <w:rFonts w:ascii="Times New Roman" w:cs="Times New Roman" w:eastAsia="Times New Roman" w:hAnsi="Times New Roman"/>
          <w:sz w:val="20"/>
          <w:szCs w:val="20"/>
        </w:rPr>
        <w:t xml:space="preserve">Whitehead, A. N. (1929). Process and reality: An essay in cosmology. Macmillan.</w:t>
      </w:r>
    </w:p>
    <w:p>
      <w:pPr>
        <w:spacing w:after="80" w:before="0" w:line="480" w:lineRule="auto"/>
        <w:ind w:left="720" w:hanging="720"/>
      </w:pPr>
      <w:r>
        <w:rPr>
          <w:rFonts w:ascii="Times New Roman" w:cs="Times New Roman" w:eastAsia="Times New Roman" w:hAnsi="Times New Roman"/>
          <w:sz w:val="20"/>
          <w:szCs w:val="20"/>
        </w:rPr>
        <w:t xml:space="preserve">Zahavi, D. (2003). Husserl’s phenomenology. Stanford University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2026-05-27T18:04:40.544Z</dcterms:created>
  <dcterms:modified xsi:type="dcterms:W3CDTF">2026-05-27T18:04:40.567Z</dcterms:modified>
</cp:coreProperties>
</file>

<file path=docProps/custom.xml><?xml version="1.0" encoding="utf-8"?>
<Properties xmlns="http://schemas.openxmlformats.org/officeDocument/2006/custom-properties" xmlns:vt="http://schemas.openxmlformats.org/officeDocument/2006/docPropsVTypes"/>
</file>