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25.png" ContentType="image/png"/>
  <Override PartName="/word/media/rId3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Иммитационное моделирование</w:t>
      </w:r>
    </w:p>
    <w:p>
      <w:pPr>
        <w:pStyle w:val="Author"/>
      </w:pPr>
      <w:r>
        <w:t xml:space="preserve">Арбатова Варвара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теоретическое-введение"/>
    <w:p>
      <w:pPr>
        <w:pStyle w:val="Heading1"/>
      </w:pPr>
      <w:r>
        <w:t xml:space="preserve">1. Теоретическое введение</w:t>
      </w:r>
    </w:p>
    <w:bookmarkStart w:id="11" w:name="Xd0a510b46319732c63368155df9ccb5668f1c2f"/>
    <w:p>
      <w:pPr>
        <w:pStyle w:val="Heading2"/>
      </w:pPr>
      <w:r>
        <w:t xml:space="preserve">1.1 1. Сети Петри: формализм для моделирования дискретных систем</w:t>
      </w:r>
    </w:p>
    <w:p>
      <w:pPr>
        <w:pStyle w:val="FirstParagraph"/>
      </w:pPr>
      <w:r>
        <w:t xml:space="preserve">Сети Петри (Petri nets) — это математический аппарат для моделирования и анализа дискретных параллельных и асинхронных систем. Впервые они были предложены Карлом Адамом Петри в 1962 году. Основными элементами сети Петри являются: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Позиции (places)</w:t>
      </w:r>
      <w:r>
        <w:t xml:space="preserve"> </w:t>
      </w:r>
      <w:r>
        <w:t xml:space="preserve">— пассивные элементы, описывающие состояние системы (обозначаются кругами);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Переходы (transitions)</w:t>
      </w:r>
      <w:r>
        <w:t xml:space="preserve"> </w:t>
      </w:r>
      <w:r>
        <w:t xml:space="preserve">— активные элементы, описывающие события (обозначаются прямоугольниками);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Фишки (tokens)</w:t>
      </w:r>
      <w:r>
        <w:t xml:space="preserve"> </w:t>
      </w:r>
      <w:r>
        <w:t xml:space="preserve">— маркеры, находящиеся внутри позиций, количество которых определяет текущую маркировку сети;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Дуги (arcs)</w:t>
      </w:r>
      <w:r>
        <w:t xml:space="preserve"> </w:t>
      </w:r>
      <w:r>
        <w:t xml:space="preserve">— направленные соединения между позициями и переходами (не между однотипными вершинами).</w:t>
      </w:r>
    </w:p>
    <w:p>
      <w:pPr>
        <w:pStyle w:val="FirstParagraph"/>
      </w:pPr>
      <w:r>
        <w:t xml:space="preserve">Сеть Петри формально определяется как четвёрка: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— конечное множество позиций;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конечное множество переходов;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— множество дуг;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P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— начальная маркировка.</w:t>
      </w:r>
    </w:p>
    <w:bookmarkStart w:id="9" w:name="правило-срабатывания-перехода"/>
    <w:p>
      <w:pPr>
        <w:pStyle w:val="Heading3"/>
      </w:pPr>
      <w:r>
        <w:t xml:space="preserve">1.1.1 1.1. Правило срабатывания перехода</w:t>
      </w:r>
    </w:p>
    <w:p>
      <w:pPr>
        <w:pStyle w:val="FirstParagraph"/>
      </w:pPr>
      <w:r>
        <w:t xml:space="preserve">Переход считается</w:t>
      </w:r>
      <w:r>
        <w:t xml:space="preserve"> </w:t>
      </w:r>
      <w:r>
        <w:rPr>
          <w:b/>
          <w:bCs/>
        </w:rPr>
        <w:t xml:space="preserve">разрешённым</w:t>
      </w:r>
      <w:r>
        <w:t xml:space="preserve"> </w:t>
      </w:r>
      <w:r>
        <w:t xml:space="preserve">(enabled), если каждая из его входных позиций содержит количество фишек, не меньшее кратности входной дуги. Разрешённый переход может</w:t>
      </w:r>
      <w:r>
        <w:t xml:space="preserve"> </w:t>
      </w:r>
      <w:r>
        <w:rPr>
          <w:b/>
          <w:bCs/>
        </w:rPr>
        <w:t xml:space="preserve">сработать</w:t>
      </w:r>
      <w:r>
        <w:t xml:space="preserve"> </w:t>
      </w:r>
      <w:r>
        <w:t xml:space="preserve">(fire), что приводит к изменению маркировки сети:</w:t>
      </w:r>
    </w:p>
    <w:p>
      <w:pPr>
        <w:pStyle w:val="Compact"/>
        <w:numPr>
          <w:ilvl w:val="0"/>
          <w:numId w:val="1002"/>
        </w:numPr>
      </w:pPr>
      <w:r>
        <w:t xml:space="preserve">Из каждой входной позиции удаляется количество фишек, равное кратности входной дуги;</w:t>
      </w:r>
    </w:p>
    <w:p>
      <w:pPr>
        <w:pStyle w:val="Compact"/>
        <w:numPr>
          <w:ilvl w:val="0"/>
          <w:numId w:val="1002"/>
        </w:numPr>
      </w:pPr>
      <w:r>
        <w:t xml:space="preserve">В каждую выходную позицию добавляется количество фишек, равное кратности выходной дуги.</w:t>
      </w:r>
    </w:p>
    <w:p>
      <w:pPr>
        <w:pStyle w:val="FirstParagraph"/>
      </w:pPr>
      <w:r>
        <w:t xml:space="preserve">Срабатывание перехода является атомарной операцией и происходит мгновенно. Если разрешено несколько переходов, может сработать любой из них (недетерминизм). Этот механизм позволяет моделировать параллельные и конкурирующие процессы.</w:t>
      </w:r>
    </w:p>
    <w:bookmarkEnd w:id="9"/>
    <w:bookmarkStart w:id="10" w:name="свойства-сетей-петри"/>
    <w:p>
      <w:pPr>
        <w:pStyle w:val="Heading3"/>
      </w:pPr>
      <w:r>
        <w:t xml:space="preserve">1.1.2 1.2. Свойства сетей Петри</w:t>
      </w:r>
    </w:p>
    <w:p>
      <w:pPr>
        <w:pStyle w:val="FirstParagraph"/>
      </w:pPr>
      <w:r>
        <w:t xml:space="preserve">При анализе моделей на основе сетей Петри исследуются следующие ключевые свойства: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Ограниченность (boundedness)</w:t>
      </w:r>
      <w:r>
        <w:t xml:space="preserve"> </w:t>
      </w:r>
      <w:r>
        <w:t xml:space="preserve">— количество фишек в любой позиции не превышает заданного предела. Сеть называется безопасной, если этот предел равен 1;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Живость (liveness)</w:t>
      </w:r>
      <w:r>
        <w:t xml:space="preserve"> </w:t>
      </w:r>
      <w:r>
        <w:t xml:space="preserve">— гарантия того, что для любого перехода существует достижимая маркировка, в которой он может сработать (отсутствие вечных блокировок);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Достижимость (reachability)</w:t>
      </w:r>
      <w:r>
        <w:t xml:space="preserve"> </w:t>
      </w:r>
      <w:r>
        <w:t xml:space="preserve">— возможность из начальной маркировки перейти в целевую маркировку за конечное число срабатываний переходов;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Сохраняемость (conservation)</w:t>
      </w:r>
      <w:r>
        <w:t xml:space="preserve"> </w:t>
      </w:r>
      <w:r>
        <w:t xml:space="preserve">— взвешенная сумма фишек по всем позициям остаётся постоянной (аналог законов сохранения в физике).</w:t>
      </w:r>
    </w:p>
    <w:bookmarkEnd w:id="10"/>
    <w:bookmarkEnd w:id="11"/>
    <w:bookmarkStart w:id="15" w:name="эпидемиологическая-модель-sir"/>
    <w:p>
      <w:pPr>
        <w:pStyle w:val="Heading2"/>
      </w:pPr>
      <w:r>
        <w:t xml:space="preserve">1.2 2. Эпидемиологическая модель SIR</w:t>
      </w:r>
    </w:p>
    <w:p>
      <w:pPr>
        <w:pStyle w:val="FirstParagraph"/>
      </w:pPr>
      <w:r>
        <w:t xml:space="preserve">Модель SIR (Susceptible–Infectious–Recovered) — классическая математическая модель эпидемиологии, описывающая распространение инфекционного заболевания в закрытой популяции. Впервые она была предложена Кермаком и Маккендриком в 1927 году.</w:t>
      </w:r>
    </w:p>
    <w:bookmarkStart w:id="12" w:name="компартменты-модели"/>
    <w:p>
      <w:pPr>
        <w:pStyle w:val="Heading3"/>
      </w:pPr>
      <w:r>
        <w:t xml:space="preserve">1.2.1 2.1. Компартменты модели</w:t>
      </w:r>
    </w:p>
    <w:p>
      <w:pPr>
        <w:pStyle w:val="FirstParagraph"/>
      </w:pPr>
      <w:r>
        <w:t xml:space="preserve">Вся популяция делится на три группы: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(Susceptible)</w:t>
      </w:r>
      <w:r>
        <w:t xml:space="preserve"> </w:t>
      </w:r>
      <w:r>
        <w:t xml:space="preserve">— восприимчивые к заболеванию индивиды, которые могут заразиться при контакте с инфицированными;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(Infectious)</w:t>
      </w:r>
      <w:r>
        <w:t xml:space="preserve"> </w:t>
      </w:r>
      <w:r>
        <w:t xml:space="preserve">— инфицированные индивиды, способные передавать инфекцию восприимчивым;</w:t>
      </w:r>
    </w:p>
    <w:p>
      <w:pPr>
        <w:pStyle w:val="Compact"/>
        <w:numPr>
          <w:ilvl w:val="0"/>
          <w:numId w:val="1004"/>
        </w:numPr>
      </w:pPr>
      <m:oMath>
        <m: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(Recovered)</w:t>
      </w:r>
      <w:r>
        <w:t xml:space="preserve"> </w:t>
      </w:r>
      <w:r>
        <w:t xml:space="preserve">— выздоровевшие (или умершие) индивиды, получившие иммунитет и более не участвующие в распространении болезни.</w:t>
      </w:r>
    </w:p>
    <w:bookmarkEnd w:id="12"/>
    <w:bookmarkStart w:id="13" w:name="дифференциальные-уравнения"/>
    <w:p>
      <w:pPr>
        <w:pStyle w:val="Heading3"/>
      </w:pPr>
      <w:r>
        <w:t xml:space="preserve">1.2.2 2.2. Дифференциальные уравнения</w:t>
      </w:r>
    </w:p>
    <w:p>
      <w:pPr>
        <w:pStyle w:val="FirstParagraph"/>
      </w:pPr>
      <w:r>
        <w:t xml:space="preserve">Динамика модели SIR описывается системой обыкновенных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S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I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t>S</m:t>
                  </m:r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γ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коэффициент передачи инфекции (скорость заражения);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скорость выздоровления (</w:t>
      </w:r>
      <m:oMath>
        <m:r>
          <m:t>1</m:t>
        </m:r>
        <m:r>
          <m:rPr>
            <m:sty m:val="p"/>
          </m:rPr>
          <m:t>/</m:t>
        </m:r>
        <m:r>
          <m:t>γ</m:t>
        </m:r>
      </m:oMath>
      <w:r>
        <w:t xml:space="preserve"> </w:t>
      </w:r>
      <w:r>
        <w:t xml:space="preserve">— средняя продолжительность болезни);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— общая численность популяции (постоянна).</w:t>
      </w:r>
    </w:p>
    <w:bookmarkEnd w:id="13"/>
    <w:bookmarkStart w:id="14" w:name="базовое-репродуктивное-число"/>
    <w:p>
      <w:pPr>
        <w:pStyle w:val="Heading3"/>
      </w:pPr>
      <w:r>
        <w:t xml:space="preserve">1.2.3 2.3. Базовое репродуктивное число</w:t>
      </w:r>
    </w:p>
    <w:p>
      <w:pPr>
        <w:pStyle w:val="FirstParagraph"/>
      </w:pPr>
      <w:r>
        <w:t xml:space="preserve">Ключевым параметром модели является базовое репродуктивное число: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Оно определяет среднее число вторичных заражений, вызванных одним инфицированным индивидом в полностью восприимчивой популяции:</w:t>
      </w:r>
      <w:r>
        <w:t xml:space="preserve"> </w:t>
      </w:r>
      <w:r>
        <w:t xml:space="preserve">- 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эпидемия будет распространяться;</w:t>
      </w:r>
      <w:r>
        <w:t xml:space="preserve"> </w:t>
      </w:r>
      <w:r>
        <w:t xml:space="preserve">- Если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— вспышка затухнет.</w:t>
      </w:r>
    </w:p>
    <w:bookmarkEnd w:id="14"/>
    <w:bookmarkEnd w:id="15"/>
    <w:bookmarkStart w:id="19" w:name="X4b36339baa6441c45be766de5ecf717fb5db83f"/>
    <w:p>
      <w:pPr>
        <w:pStyle w:val="Heading2"/>
      </w:pPr>
      <w:r>
        <w:t xml:space="preserve">1.3 3. Представление модели SIR в виде сети Петри</w:t>
      </w:r>
    </w:p>
    <w:p>
      <w:pPr>
        <w:pStyle w:val="FirstParagraph"/>
      </w:pPr>
      <w:r>
        <w:t xml:space="preserve">Эпидемиологический процесс естественным образом представляется с помощью сетей Петри. Каждому состоянию соответствует позиция, а каждому процессу — переход.</w:t>
      </w:r>
    </w:p>
    <w:bookmarkStart w:id="16" w:name="позиции-состояния"/>
    <w:p>
      <w:pPr>
        <w:pStyle w:val="Heading3"/>
      </w:pPr>
      <w:r>
        <w:t xml:space="preserve">1.3.1 3.1. Позиции (состояния)</w:t>
      </w:r>
    </w:p>
    <w:p>
      <w:pPr>
        <w:pStyle w:val="Compact"/>
        <w:numPr>
          <w:ilvl w:val="0"/>
          <w:numId w:val="1005"/>
        </w:numPr>
      </w:pPr>
      <w:r>
        <w:t xml:space="preserve">Позиция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(Susceptible) — фишки в этой позиции обозначают восприимчивых индивидов;</w:t>
      </w:r>
    </w:p>
    <w:p>
      <w:pPr>
        <w:pStyle w:val="Compact"/>
        <w:numPr>
          <w:ilvl w:val="0"/>
          <w:numId w:val="1005"/>
        </w:numPr>
      </w:pPr>
      <w:r>
        <w:t xml:space="preserve">Позиция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(Infectious) — фишки обозначают инфицированных;</w:t>
      </w:r>
    </w:p>
    <w:p>
      <w:pPr>
        <w:pStyle w:val="Compact"/>
        <w:numPr>
          <w:ilvl w:val="0"/>
          <w:numId w:val="1005"/>
        </w:numPr>
      </w:pPr>
      <w:r>
        <w:t xml:space="preserve">Позиция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(Recovered) — фишки обозначают выздоровевших.</w:t>
      </w:r>
    </w:p>
    <w:bookmarkEnd w:id="16"/>
    <w:bookmarkStart w:id="17" w:name="переходы-события"/>
    <w:p>
      <w:pPr>
        <w:pStyle w:val="Heading3"/>
      </w:pPr>
      <w:r>
        <w:t xml:space="preserve">1.3.2 3.2. Переходы (события)</w:t>
      </w:r>
    </w:p>
    <w:p>
      <w:pPr>
        <w:pStyle w:val="Compact"/>
        <w:numPr>
          <w:ilvl w:val="0"/>
          <w:numId w:val="1006"/>
        </w:numPr>
      </w:pPr>
      <w:r>
        <w:t xml:space="preserve">Переход</w:t>
      </w:r>
      <w:r>
        <w:t xml:space="preserve"> </w:t>
      </w:r>
      <w:r>
        <w:rPr>
          <w:b/>
          <w:bCs/>
        </w:rPr>
        <w:t xml:space="preserve">infection</w:t>
      </w:r>
      <w:r>
        <w:t xml:space="preserve"> </w:t>
      </w:r>
      <w:r>
        <w:t xml:space="preserve">реализует процесс заражения: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+</m:t>
        </m:r>
        <m:r>
          <m:t>I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Переход</w:t>
      </w:r>
      <w:r>
        <w:t xml:space="preserve"> </w:t>
      </w:r>
      <w:r>
        <w:rPr>
          <w:b/>
          <w:bCs/>
        </w:rPr>
        <w:t xml:space="preserve">recovery</w:t>
      </w:r>
      <w:r>
        <w:t xml:space="preserve"> </w:t>
      </w:r>
      <w:r>
        <w:t xml:space="preserve">реализует процесс выздоровления: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R</m:t>
        </m:r>
      </m:oMath>
      <w:r>
        <w:t xml:space="preserve">.</w:t>
      </w:r>
    </w:p>
    <w:bookmarkEnd w:id="17"/>
    <w:bookmarkStart w:id="18" w:name="скорости-срабатывания-переходов"/>
    <w:p>
      <w:pPr>
        <w:pStyle w:val="Heading3"/>
      </w:pPr>
      <w:r>
        <w:t xml:space="preserve">1.3.3 3.3. Скорости срабатывания переходов</w:t>
      </w:r>
    </w:p>
    <w:p>
      <w:pPr>
        <w:pStyle w:val="FirstParagraph"/>
      </w:pPr>
      <w:r>
        <w:t xml:space="preserve">В зависимости от типа моделирования используются разные механизмы:</w:t>
      </w:r>
    </w:p>
    <w:p>
      <w:pPr>
        <w:pStyle w:val="Compact"/>
        <w:numPr>
          <w:ilvl w:val="0"/>
          <w:numId w:val="1007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детерминированного моделирования (ODU)</w:t>
      </w:r>
      <w:r>
        <w:t xml:space="preserve"> </w:t>
      </w:r>
      <w:r>
        <w:t xml:space="preserve">— применяется закон действующих масс: скорость заражения</w:t>
      </w:r>
      <w:r>
        <w:t xml:space="preserve"> </w:t>
      </w:r>
      <m:oMath>
        <m:r>
          <m:t>β</m:t>
        </m:r>
        <m:r>
          <m:rPr>
            <m:sty m:val="p"/>
          </m:rPr>
          <m:t>⋅</m:t>
        </m:r>
        <m:r>
          <m:t>S</m:t>
        </m:r>
        <m:r>
          <m:rPr>
            <m:sty m:val="p"/>
          </m:rPr>
          <m:t>⋅</m:t>
        </m:r>
        <m:r>
          <m:t>I</m:t>
        </m:r>
      </m:oMath>
      <w:r>
        <w:t xml:space="preserve">, скорость выздоровления</w:t>
      </w:r>
      <w:r>
        <w:t xml:space="preserve"> </w:t>
      </w:r>
      <m:oMath>
        <m:r>
          <m:t>γ</m:t>
        </m:r>
        <m:r>
          <m:rPr>
            <m:sty m:val="p"/>
          </m:rPr>
          <m:t>⋅</m:t>
        </m:r>
        <m:r>
          <m:t>I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стохастического моделирования (алгоритм Гиллеспи)</w:t>
      </w:r>
      <w:r>
        <w:t xml:space="preserve"> </w:t>
      </w:r>
      <w:r>
        <w:t xml:space="preserve">— переходы срабатывают с интенсивностями</w:t>
      </w:r>
      <w:r>
        <w:t xml:space="preserve"> </w:t>
      </w:r>
      <m:oMath>
        <m:r>
          <m:t>β</m:t>
        </m:r>
        <m:r>
          <m:t>S</m:t>
        </m:r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  <m:r>
          <m:t>I</m:t>
        </m:r>
      </m:oMath>
      <w:r>
        <w:t xml:space="preserve">, а время до следующего события генерируется из экспоненциального распределения.</w:t>
      </w:r>
    </w:p>
    <w:bookmarkEnd w:id="18"/>
    <w:bookmarkEnd w:id="19"/>
    <w:bookmarkStart w:id="22" w:name="методы-моделирования"/>
    <w:p>
      <w:pPr>
        <w:pStyle w:val="Heading2"/>
      </w:pPr>
      <w:r>
        <w:t xml:space="preserve">1.4 4. Методы моделирования</w:t>
      </w:r>
    </w:p>
    <w:bookmarkStart w:id="20" w:name="детерминированное-моделирование-odu"/>
    <w:p>
      <w:pPr>
        <w:pStyle w:val="Heading3"/>
      </w:pPr>
      <w:r>
        <w:t xml:space="preserve">1.4.1 4.1. Детерминированное моделирование (ODU)</w:t>
      </w:r>
    </w:p>
    <w:p>
      <w:pPr>
        <w:pStyle w:val="FirstParagraph"/>
      </w:pPr>
      <w:r>
        <w:t xml:space="preserve">Детерминированный подход описывает эволюцию системы как непрерывный процесс. Количество фишек в каждой позиции аппроксимируется непрерывными переменными, а динамика задаётся системой обыкновенных дифференциальных уравнений. Такой подход эффективен для больших популяций, где случайные флуктуации пренебрежимо малы.</w:t>
      </w:r>
    </w:p>
    <w:bookmarkEnd w:id="20"/>
    <w:bookmarkStart w:id="21" w:name="Xf88c009fd6888e0f301e21402725347962a27e5"/>
    <w:p>
      <w:pPr>
        <w:pStyle w:val="Heading3"/>
      </w:pPr>
      <w:r>
        <w:t xml:space="preserve">1.4.2 4.2. Стохастическое моделирование (алгоритм Гиллеспи)</w:t>
      </w:r>
    </w:p>
    <w:p>
      <w:pPr>
        <w:pStyle w:val="FirstParagraph"/>
      </w:pPr>
      <w:r>
        <w:t xml:space="preserve">Алгоритм Гиллеспи (или алгоритм стохастической симуляции)</w:t>
      </w:r>
      <w:r>
        <w:t xml:space="preserve"> </w:t>
      </w:r>
      <w:r>
        <w:t xml:space="preserve">[1]</w:t>
      </w:r>
      <w:r>
        <w:t xml:space="preserve"> </w:t>
      </w:r>
      <w:r>
        <w:t xml:space="preserve">точно учитывает дискретность и случайность событий. В отличие от детерминированного подхода, каждый прогон даёт различную траекторию, что важно для анализа систем с малым количеством частиц или когда случайные эффекты играют существенную роль.</w:t>
      </w:r>
    </w:p>
    <w:p>
      <w:pPr>
        <w:pStyle w:val="BodyText"/>
      </w:pPr>
      <w:r>
        <w:t xml:space="preserve">Основные шаги алгоритма Гиллеспи:</w:t>
      </w:r>
    </w:p>
    <w:p>
      <w:pPr>
        <w:pStyle w:val="Compact"/>
        <w:numPr>
          <w:ilvl w:val="0"/>
          <w:numId w:val="1008"/>
        </w:numPr>
      </w:pPr>
      <w:r>
        <w:t xml:space="preserve">Для каждого перехода вычисляется его интенсивность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(скорость срабатывания);</w:t>
      </w:r>
    </w:p>
    <w:p>
      <w:pPr>
        <w:pStyle w:val="Compact"/>
        <w:numPr>
          <w:ilvl w:val="0"/>
          <w:numId w:val="1008"/>
        </w:numPr>
      </w:pPr>
      <w:r>
        <w:t xml:space="preserve">Вычисляется суммарная интенсивность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Генерируется время до следующего события: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Выбирается переход, который сработает, с вероятностью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Обновляется маркировка в соответствии с выбранным переходом;</w:t>
      </w:r>
    </w:p>
    <w:p>
      <w:pPr>
        <w:pStyle w:val="Compact"/>
        <w:numPr>
          <w:ilvl w:val="0"/>
          <w:numId w:val="1008"/>
        </w:numPr>
      </w:pPr>
      <w:r>
        <w:t xml:space="preserve">Обновляется модельное время</w:t>
      </w:r>
      <w:r>
        <w:t xml:space="preserve"> </w:t>
      </w:r>
      <m:oMath>
        <m:r>
          <m:t>t</m:t>
        </m:r>
        <m:r>
          <m:rPr>
            <m:sty m:val="p"/>
          </m:rPr>
          <m:t>←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t</m:t>
        </m:r>
      </m:oMath>
      <w:r>
        <w:t xml:space="preserve">.</w:t>
      </w:r>
    </w:p>
    <w:p>
      <w:pPr>
        <w:pStyle w:val="FirstParagraph"/>
      </w:pPr>
      <w:r>
        <w:t xml:space="preserve">Сети Петри</w:t>
      </w:r>
      <w:r>
        <w:t xml:space="preserve"> </w:t>
      </w:r>
      <w:r>
        <w:t xml:space="preserve">[2]</w:t>
      </w:r>
      <w:r>
        <w:t xml:space="preserve"> </w:t>
      </w:r>
      <w:r>
        <w:t xml:space="preserve">позволяют моделировать дискретные системы.</w:t>
      </w:r>
      <w:r>
        <w:t xml:space="preserve"> </w:t>
      </w:r>
      <w:r>
        <w:t xml:space="preserve">Алгоритм Гиллеспи</w:t>
      </w:r>
      <w:r>
        <w:t xml:space="preserve"> </w:t>
      </w:r>
      <w:r>
        <w:t xml:space="preserve">[1]</w:t>
      </w:r>
      <w:r>
        <w:t xml:space="preserve"> </w:t>
      </w:r>
      <w:r>
        <w:t xml:space="preserve">используется для стохастического моделирования.</w:t>
      </w:r>
      <w:r>
        <w:t xml:space="preserve"> </w:t>
      </w:r>
      <w:r>
        <w:t xml:space="preserve">Классическая модель SIR была предложена Кермаком и Маккендриком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Подробное описание лабораторной работы приведено в методических указаниях</w:t>
      </w:r>
      <w:r>
        <w:t xml:space="preserve"> </w:t>
      </w:r>
      <w:r>
        <w:t xml:space="preserve">[4]</w:t>
      </w:r>
      <w:r>
        <w:t xml:space="preserve">.</w:t>
      </w:r>
    </w:p>
    <w:bookmarkEnd w:id="21"/>
    <w:bookmarkEnd w:id="22"/>
    <w:bookmarkEnd w:id="23"/>
    <w:bookmarkStart w:id="24" w:name="цель-лабораторной-работы"/>
    <w:p>
      <w:pPr>
        <w:pStyle w:val="Heading1"/>
      </w:pPr>
      <w:r>
        <w:t xml:space="preserve">2. Цель лабораторной работы</w:t>
      </w:r>
    </w:p>
    <w:p>
      <w:pPr>
        <w:pStyle w:val="FirstParagraph"/>
      </w:pPr>
      <w:r>
        <w:t xml:space="preserve">Целью данной лабораторной работы является реализация и исследование эпидемиологической модели SIR с использованием аппарата сетей Петри. В рамках работы необходимо:</w:t>
      </w:r>
    </w:p>
    <w:p>
      <w:pPr>
        <w:pStyle w:val="Compact"/>
        <w:numPr>
          <w:ilvl w:val="0"/>
          <w:numId w:val="1009"/>
        </w:numPr>
      </w:pPr>
      <w:r>
        <w:t xml:space="preserve">Построить сеть Петри для модели SIR (позиции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и переходы infection, recovery);</w:t>
      </w:r>
    </w:p>
    <w:p>
      <w:pPr>
        <w:pStyle w:val="Compact"/>
        <w:numPr>
          <w:ilvl w:val="0"/>
          <w:numId w:val="1009"/>
        </w:numPr>
      </w:pPr>
      <w:r>
        <w:t xml:space="preserve">Реализовать детерминированное моделирование (решение системы ОДУ);</w:t>
      </w:r>
    </w:p>
    <w:p>
      <w:pPr>
        <w:pStyle w:val="Compact"/>
        <w:numPr>
          <w:ilvl w:val="0"/>
          <w:numId w:val="1009"/>
        </w:numPr>
      </w:pPr>
      <w:r>
        <w:t xml:space="preserve">Реализовать стохастическое моделирование (алгоритм Гиллеспи);</w:t>
      </w:r>
    </w:p>
    <w:p>
      <w:pPr>
        <w:pStyle w:val="Compact"/>
        <w:numPr>
          <w:ilvl w:val="0"/>
          <w:numId w:val="1009"/>
        </w:numPr>
      </w:pPr>
      <w:r>
        <w:t xml:space="preserve">Провести вычислительные эксперименты при различных значениях параметров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γ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Сравнить детерминированный и стохастический подходы;</w:t>
      </w:r>
    </w:p>
    <w:p>
      <w:pPr>
        <w:pStyle w:val="Compact"/>
        <w:numPr>
          <w:ilvl w:val="0"/>
          <w:numId w:val="1009"/>
        </w:numPr>
      </w:pPr>
      <w:r>
        <w:t xml:space="preserve">Проанализировать полученные результаты и визуализировать динамику эпидемического процесса.</w:t>
      </w:r>
    </w:p>
    <w:bookmarkEnd w:id="24"/>
    <w:bookmarkStart w:id="4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3" w:name="базовый-прогон-модели"/>
    <w:p>
      <w:pPr>
        <w:pStyle w:val="Heading2"/>
      </w:pPr>
      <w:r>
        <w:t xml:space="preserve">3.1 Базовый прогон модели</w:t>
      </w:r>
    </w:p>
    <w:p>
      <w:pPr>
        <w:pStyle w:val="FirstParagraph"/>
      </w:pPr>
      <w:r>
        <w:t xml:space="preserve">— Выполняет один базовый эксперимент с фиксированными параметрами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=</w:t>
      </w:r>
      <w:r>
        <w:t xml:space="preserve"> </w:t>
      </w:r>
      <w:r>
        <w:t xml:space="preserve">0.3, γ = 0.1.</w:t>
      </w:r>
      <w:r>
        <w:t xml:space="preserve"> </w:t>
      </w:r>
      <w:r>
        <w:t xml:space="preserve">— Запускает два типа симуляции:</w:t>
      </w:r>
      <w:r>
        <w:t xml:space="preserve"> </w:t>
      </w:r>
      <w:r>
        <w:t xml:space="preserve">— детерминированную (решение ОДУ) — даёт плавную усреднённую динами-</w:t>
      </w:r>
      <w:r>
        <w:t xml:space="preserve"> </w:t>
      </w:r>
      <w:r>
        <w:t xml:space="preserve">ку;</w:t>
      </w:r>
      <w:r>
        <w:t xml:space="preserve"> </w:t>
      </w:r>
      <w:r>
        <w:t xml:space="preserve">— стохастическую (алгоритм Гиллеспи) — учитывает случайные флуктуации.</w:t>
      </w:r>
      <w:r>
        <w:t xml:space="preserve"> </w:t>
      </w:r>
      <w:r>
        <w:t xml:space="preserve">— Сохраняет результаты в CSV‑файлы и строит графики S(t), I(t), R(t) для обоих</w:t>
      </w:r>
      <w:r>
        <w:t xml:space="preserve"> </w:t>
      </w:r>
      <w:r>
        <w:t xml:space="preserve">типов.</w:t>
      </w:r>
    </w:p>
    <w:p>
      <w:pPr>
        <w:pStyle w:val="BodyText"/>
      </w:pPr>
      <w:r>
        <w:t xml:space="preserve">— Детерминированный график показывает классический пик эпидемии: рост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максимум, затем спад до нуля;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растёт и выходит на плато,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падает.</w:t>
      </w:r>
      <w:r>
        <w:t xml:space="preserve"> </w:t>
      </w:r>
      <w:r>
        <w:t xml:space="preserve">— Стохастический график может иметь шумы и, возможно, немного отличаться</w:t>
      </w:r>
      <w:r>
        <w:t xml:space="preserve"> </w:t>
      </w:r>
      <w:r>
        <w:t xml:space="preserve">по времени пика и амплитуде – это демонстрирует влияние случайности.</w:t>
      </w:r>
      <w:r>
        <w:t xml:space="preserve"> </w:t>
      </w:r>
      <w:r>
        <w:t xml:space="preserve">— Сравнение двух типов симуляции показывает, что при большом начальном</w:t>
      </w:r>
      <w:r>
        <w:t xml:space="preserve"> </w:t>
      </w:r>
      <w:r>
        <w:t xml:space="preserve">числе восприимчивых (990) стохастическая траектория близка к детермини-</w:t>
      </w:r>
      <w:r>
        <w:t xml:space="preserve"> </w:t>
      </w:r>
      <w:r>
        <w:t xml:space="preserve">рованной, но при малых числах различия были бы значительны.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</w:p>
    <w:p>
      <w:pPr>
        <w:pStyle w:val="FirstParagraph"/>
      </w:pPr>
      <w:r>
        <w:t xml:space="preserve">Подключаем модуль (только один раз)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Параметры</w:t>
      </w:r>
    </w:p>
    <w:p>
      <w:pPr>
        <w:pStyle w:val="SourceCode"/>
      </w:pP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</w:p>
    <w:p>
      <w:pPr>
        <w:pStyle w:val="SourceCode"/>
      </w:pPr>
      <w:r>
        <w:rPr>
          <w:rStyle w:val="VerbatimChar"/>
        </w:rPr>
        <w:t xml:space="preserve">100.0</w:t>
      </w:r>
    </w:p>
    <w:p>
      <w:pPr>
        <w:pStyle w:val="FirstParagraph"/>
      </w:pPr>
      <w:r>
        <w:t xml:space="preserve">Создаём сеть</w:t>
      </w:r>
    </w:p>
    <w:p>
      <w:pPr>
        <w:pStyle w:val="SourceCode"/>
      </w:pP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SourceCode"/>
      </w:pPr>
      <w:r>
        <w:rPr>
          <w:rStyle w:val="VerbatimChar"/>
        </w:rPr>
        <w:t xml:space="preserve">(AlgebraicPetri.LabelledPetriNet:</w:t>
      </w:r>
      <w:r>
        <w:br/>
      </w:r>
      <w:r>
        <w:rPr>
          <w:rStyle w:val="VerbatimChar"/>
        </w:rPr>
        <w:t xml:space="preserve">  T = 1:2</w:t>
      </w:r>
      <w:r>
        <w:br/>
      </w:r>
      <w:r>
        <w:rPr>
          <w:rStyle w:val="VerbatimChar"/>
        </w:rPr>
        <w:t xml:space="preserve">  S = 1:3</w:t>
      </w:r>
      <w:r>
        <w:br/>
      </w:r>
      <w:r>
        <w:rPr>
          <w:rStyle w:val="VerbatimChar"/>
        </w:rPr>
        <w:t xml:space="preserve">  I = 1:3</w:t>
      </w:r>
      <w:r>
        <w:br/>
      </w:r>
      <w:r>
        <w:rPr>
          <w:rStyle w:val="VerbatimChar"/>
        </w:rPr>
        <w:t xml:space="preserve">  O = 1:3</w:t>
      </w:r>
      <w:r>
        <w:br/>
      </w:r>
      <w:r>
        <w:rPr>
          <w:rStyle w:val="VerbatimChar"/>
        </w:rPr>
        <w:t xml:space="preserve">  Name = 1:0</w:t>
      </w:r>
      <w:r>
        <w:br/>
      </w:r>
      <w:r>
        <w:rPr>
          <w:rStyle w:val="VerbatimChar"/>
        </w:rPr>
        <w:t xml:space="preserve">  it : I → T = [1, 1, 2]</w:t>
      </w:r>
      <w:r>
        <w:br/>
      </w:r>
      <w:r>
        <w:rPr>
          <w:rStyle w:val="VerbatimChar"/>
        </w:rPr>
        <w:t xml:space="preserve">  is : I → S = [1, 2, 2]</w:t>
      </w:r>
      <w:r>
        <w:br/>
      </w:r>
      <w:r>
        <w:rPr>
          <w:rStyle w:val="VerbatimChar"/>
        </w:rPr>
        <w:t xml:space="preserve">  ot : O → T = [1, 1, 2]</w:t>
      </w:r>
      <w:r>
        <w:br/>
      </w:r>
      <w:r>
        <w:rPr>
          <w:rStyle w:val="VerbatimChar"/>
        </w:rPr>
        <w:t xml:space="preserve">  os : O → S = [2, 2, 3]</w:t>
      </w:r>
      <w:r>
        <w:br/>
      </w:r>
      <w:r>
        <w:rPr>
          <w:rStyle w:val="VerbatimChar"/>
        </w:rPr>
        <w:t xml:space="preserve">  tname : T → Name = [:infection, :recovery]</w:t>
      </w:r>
      <w:r>
        <w:br/>
      </w:r>
      <w:r>
        <w:rPr>
          <w:rStyle w:val="VerbatimChar"/>
        </w:rPr>
        <w:t xml:space="preserve">  sname : S → Name = [:S, :I, :R], [990.0, 10.0, 0.0], [:S, :I, :R])</w:t>
      </w:r>
    </w:p>
    <w:p>
      <w:pPr>
        <w:pStyle w:val="FirstParagraph"/>
      </w:pPr>
      <w:r>
        <w:t xml:space="preserve">Детерминированная симуляция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моделирование/immod/labs/lab06/project/data/sir_det.csv"</w:t>
      </w:r>
    </w:p>
    <w:p>
      <w:pPr>
        <w:pStyle w:val="FirstParagraph"/>
      </w:pPr>
      <w:r>
        <w:t xml:space="preserve">Стохастическая симуляция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моделирование/immod/labs/lab06/project/data/sir_stoch.csv"</w:t>
      </w:r>
    </w:p>
    <w:p>
      <w:pPr>
        <w:pStyle w:val="FirstParagraph"/>
      </w:pPr>
      <w:r>
        <w:t xml:space="preserve">Графики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 Результаты в data/ и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Базовый прогон завершён. Результаты в data/ и plots/</w:t>
      </w:r>
    </w:p>
    <w:p>
      <w:pPr>
        <w:pStyle w:val="FirstParagraph"/>
      </w:pPr>
      <w:r>
        <w:t xml:space="preserve">Выходные данные:</w:t>
      </w:r>
    </w:p>
    <w:p>
      <w:pPr>
        <w:pStyle w:val="BodyText"/>
      </w:pPr>
      <w:r>
        <w:t xml:space="preserve">— data/sir_det.csv — таблица с колонками: time, S, I, R для детерминиро-</w:t>
      </w:r>
      <w:r>
        <w:t xml:space="preserve"> </w:t>
      </w:r>
      <w:r>
        <w:t xml:space="preserve">ванной симуляции.</w:t>
      </w:r>
      <w:r>
        <w:t xml:space="preserve"> </w:t>
      </w:r>
      <w:r>
        <w:t xml:space="preserve">— data/sir_stoch.csv — аналогичная таблица для стохастической симуляции.</w:t>
      </w:r>
      <w:r>
        <w:t xml:space="preserve"> </w:t>
      </w:r>
      <w:r>
        <w:t xml:space="preserve">— plots/sir_det_dynamics.png — график S(t), I(t), R(t) из ОДУ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  <w:r>
        <w:t xml:space="preserve"> </w:t>
      </w:r>
      <w:r>
        <w:t xml:space="preserve">— plots/sir_stoch_dynamics.png — график стохастической траектории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sir_det_dynamics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график S(t), I(t), R(t) из ОДУ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sir_stoch_dynamic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график стохастической траектории</w:t>
            </w:r>
          </w:p>
          <w:bookmarkEnd w:id="32"/>
        </w:tc>
      </w:tr>
    </w:tbl>
    <w:bookmarkEnd w:id="33"/>
    <w:bookmarkStart w:id="38" w:name="коэффициент-заражения-beta"/>
    <w:p>
      <w:pPr>
        <w:pStyle w:val="Heading2"/>
      </w:pPr>
      <w:r>
        <w:t xml:space="preserve">3.2 Коэффициент заражения</w:t>
      </w:r>
      <w:r>
        <w:t xml:space="preserve"> </w:t>
      </w:r>
      <m:oMath>
        <m:r>
          <m:t>β</m:t>
        </m:r>
      </m:oMath>
    </w:p>
    <w:p>
      <w:pPr>
        <w:pStyle w:val="FirstParagraph"/>
      </w:pPr>
      <w:r>
        <w:t xml:space="preserve">— Исследуется чувствительность модели к изменению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(скорости</w:t>
      </w:r>
      <w:r>
        <w:t xml:space="preserve"> </w:t>
      </w:r>
      <w:r>
        <w:t xml:space="preserve">заражения).</w:t>
      </w:r>
      <w:r>
        <w:t xml:space="preserve"> </w:t>
      </w:r>
      <w:r>
        <w:t xml:space="preserve">— Для каждого значения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из диапазона 0.1:0.05:0.8 запускается детермини-</w:t>
      </w:r>
      <w:r>
        <w:t xml:space="preserve"> </w:t>
      </w:r>
      <w:r>
        <w:t xml:space="preserve">рованная симуляция (γ = 0.1 фиксирован).</w:t>
      </w:r>
      <w:r>
        <w:t xml:space="preserve"> </w:t>
      </w:r>
      <w:r>
        <w:t xml:space="preserve">— Для каждого прогона вычисляются:</w:t>
      </w:r>
      <w:r>
        <w:t xml:space="preserve"> </w:t>
      </w:r>
      <w:r>
        <w:t xml:space="preserve">— максимальное число инфицированных (пик эпидемии) – peak_I;</w:t>
      </w:r>
      <w:r>
        <w:t xml:space="preserve"> </w:t>
      </w:r>
      <w:r>
        <w:t xml:space="preserve">— конечное число выздоровевших – final_R.</w:t>
      </w:r>
      <w:r>
        <w:t xml:space="preserve"> </w:t>
      </w:r>
      <w:r>
        <w:t xml:space="preserve">— Результаты сводятся в таблицу и строится график зависимости peak_I(</w:t>
      </w:r>
      <m:oMath>
        <m:r>
          <m:t>β</m:t>
        </m:r>
      </m:oMath>
      <w:r>
        <w:t xml:space="preserve">) и</w:t>
      </w:r>
      <w:r>
        <w:t xml:space="preserve"> </w:t>
      </w:r>
      <w:r>
        <w:t xml:space="preserve">final_R(</w:t>
      </w:r>
      <m:oMath>
        <m:r>
          <m:t>β</m:t>
        </m:r>
      </m:oMath>
      <w:r>
        <w:t xml:space="preserve">)</w:t>
      </w:r>
    </w:p>
    <w:p>
      <w:pPr>
        <w:pStyle w:val="BodyText"/>
      </w:pPr>
      <w:r>
        <w:t xml:space="preserve">— При малых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(например, 0.1) эпидемия не возникает (peak_I ≈ 0, final_R ≈ 0).</w:t>
      </w:r>
      <w:r>
        <w:t xml:space="preserve"> </w:t>
      </w:r>
      <w:r>
        <w:t xml:space="preserve">— С ростом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пик заболеваемости сначала резко растёт, затем достигает насыще-</w:t>
      </w:r>
      <w:r>
        <w:t xml:space="preserve"> </w:t>
      </w:r>
      <w:r>
        <w:t xml:space="preserve">ния (почти всё население переболевает).</w:t>
      </w:r>
      <w:r>
        <w:t xml:space="preserve"> </w:t>
      </w:r>
      <w:r>
        <w:t xml:space="preserve">— Конечное R(</w:t>
      </w:r>
      <m:oMath>
        <m:r>
          <m:t>β</m:t>
        </m:r>
      </m:oMath>
      <w:r>
        <w:t xml:space="preserve">) также растёт с</w:t>
      </w:r>
      <w:r>
        <w:t xml:space="preserve"> </w:t>
      </w:r>
      <m:oMath>
        <m:r>
          <m:t>β</m:t>
        </m:r>
      </m:oMath>
      <w:r>
        <w:t xml:space="preserve">, но медленнее; при больших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практически всё</w:t>
      </w:r>
      <w:r>
        <w:t xml:space="preserve"> </w:t>
      </w:r>
      <w:r>
        <w:t xml:space="preserve">население переходит в R.</w:t>
      </w:r>
      <w:r>
        <w:t xml:space="preserve"> </w:t>
      </w:r>
      <w:r>
        <w:t xml:space="preserve">— Такой график демонстрирует пороговое явление, характерное для модели SIR:</w:t>
      </w:r>
      <w:r>
        <w:t xml:space="preserve"> </w:t>
      </w:r>
      <w:r>
        <w:t xml:space="preserve">существует критическое значение</w:t>
      </w:r>
      <w:r>
        <w:t xml:space="preserve"> </w:t>
      </w:r>
      <m:oMath>
        <m:r>
          <m:t>β</m:t>
        </m:r>
      </m:oMath>
      <w:r>
        <w:t xml:space="preserve">, выше которого возникает вспышка.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SourceCode"/>
      </w:pPr>
      <w:r>
        <w:rPr>
          <w:rStyle w:val="VerbatimChar"/>
        </w:rPr>
        <w:t xml:space="preserve">WARNING: replacing module SIRPetri.</w:t>
      </w:r>
      <w:r>
        <w:br/>
      </w:r>
      <w:r>
        <w:rPr>
          <w:rStyle w:val="VerbatimChar"/>
        </w:rPr>
        <w:t xml:space="preserve">WARNING: using SIRPetri.build_sir_network in module Notebook conflicts with an existing identifier.</w:t>
      </w:r>
      <w:r>
        <w:br/>
      </w:r>
      <w:r>
        <w:rPr>
          <w:rStyle w:val="VerbatimChar"/>
        </w:rPr>
        <w:t xml:space="preserve">WARNING: using SIRPetri.simulate_deterministic in module Notebook conflicts with an existing identifier.</w:t>
      </w:r>
      <w:r>
        <w:br/>
      </w:r>
      <w:r>
        <w:rPr>
          <w:rStyle w:val="VerbatimChar"/>
        </w:rPr>
        <w:t xml:space="preserve">WARNING: using SIRPetri.simulate_stochastic in module Notebook conflicts with an existing identifier.</w:t>
      </w:r>
      <w:r>
        <w:br/>
      </w:r>
      <w:r>
        <w:rPr>
          <w:rStyle w:val="VerbatimChar"/>
        </w:rPr>
        <w:t xml:space="preserve">WARNING: using SIRPetri.plot_sir in module Notebook conflicts with an existing identifier.</w:t>
      </w:r>
    </w:p>
    <w:p>
      <w:pPr>
        <w:pStyle w:val="FirstParagraph"/>
      </w:pPr>
      <w:r>
        <w:t xml:space="preserve">Диапазон β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γ_fixed])</w:t>
      </w:r>
      <w:r>
        <w:br/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β,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peak_I,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моделирование/immod/labs/lab06/project/data/sir_scan.csv"</w:t>
      </w:r>
    </w:p>
    <w:p>
      <w:pPr>
        <w:pStyle w:val="FirstParagraph"/>
      </w:pPr>
      <w:r>
        <w:t xml:space="preserve">График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[df_scan.peak_I df_scan.final_R],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 Результат в data/sir_scan.csv"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 Результат в data/sir_scan.csv</w:t>
      </w:r>
      <w:r>
        <w:br/>
      </w:r>
      <w:r>
        <w:rPr>
          <w:rStyle w:val="VerbatimChar"/>
        </w:rPr>
        <w:t xml:space="preserve">Could not create decoration from factory! Running with no decorations.</w:t>
      </w:r>
    </w:p>
    <w:p>
      <w:pPr>
        <w:pStyle w:val="FirstParagraph"/>
      </w:pPr>
      <w:r>
        <w:t xml:space="preserve">— data/sir_scan.csv – таблица с колонками:</w:t>
      </w:r>
      <w:r>
        <w:t xml:space="preserve"> </w:t>
      </w:r>
      <m:oMath>
        <m:r>
          <m:t>β</m:t>
        </m:r>
      </m:oMath>
      <w:r>
        <w:t xml:space="preserve">, peak_I, final_R.</w:t>
      </w:r>
      <w:r>
        <w:t xml:space="preserve"> </w:t>
      </w:r>
      <w:r>
        <w:t xml:space="preserve">— plots/sir_scan.png – график с двумя линиями: пик I(</w:t>
      </w:r>
      <m:oMath>
        <m:r>
          <m:t>β</m:t>
        </m:r>
      </m:oMath>
      <w:r>
        <w:t xml:space="preserve">) и конечное R(</w:t>
      </w:r>
      <m:oMath>
        <m:r>
          <m:t>β</m:t>
        </m:r>
      </m:oMath>
      <w:r>
        <w:t xml:space="preserve">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3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sir_scan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график с двумя линиями: пик I(</w:t>
            </w:r>
            <m:oMath>
              <m:r>
                <m:t>β</m:t>
              </m:r>
            </m:oMath>
            <w:r>
              <w:t xml:space="preserve">) и конечное R(</w:t>
            </w:r>
            <m:oMath>
              <m:r>
                <m:t>β</m:t>
              </m:r>
            </m:oMath>
            <w:r>
              <w:t xml:space="preserve">)</w:t>
            </w:r>
          </w:p>
          <w:bookmarkEnd w:id="37"/>
        </w:tc>
      </w:tr>
    </w:tbl>
    <w:bookmarkEnd w:id="38"/>
    <w:bookmarkStart w:id="39" w:name="анимация-детерминированной-динамики"/>
    <w:p>
      <w:pPr>
        <w:pStyle w:val="Heading2"/>
      </w:pPr>
      <w:r>
        <w:t xml:space="preserve">3.3 Анимация детерминированной динамики</w:t>
      </w:r>
    </w:p>
    <w:p>
      <w:pPr>
        <w:pStyle w:val="FirstParagraph"/>
      </w:pPr>
      <w:r>
        <w:t xml:space="preserve">— Создаёт GIF-анимацию, показывающую, как со временем меняется количество</w:t>
      </w:r>
      <w:r>
        <w:t xml:space="preserve"> </w:t>
      </w:r>
      <w:r>
        <w:t xml:space="preserve">людей в каждой из трёх групп (𝑆, 𝐼, 𝑅).</w:t>
      </w:r>
      <w:r>
        <w:t xml:space="preserve"> </w:t>
      </w:r>
      <w:r>
        <w:t xml:space="preserve">— Анимация позволяет наглядно увидеть распространение эпидемии, пик и</w:t>
      </w:r>
      <w:r>
        <w:t xml:space="preserve"> </w:t>
      </w:r>
      <w:r>
        <w:t xml:space="preserve">спад.</w:t>
      </w:r>
    </w:p>
    <w:p>
      <w:pPr>
        <w:pStyle w:val="BodyText"/>
      </w:pPr>
      <w:r>
        <w:t xml:space="preserve">— На первых кадрах 𝐼 растёт, 𝑆 падает.</w:t>
      </w:r>
      <w:r>
        <w:t xml:space="preserve"> </w:t>
      </w:r>
      <w:r>
        <w:t xml:space="preserve">— В момент пика 𝐼 достигает максимума, затем снижается, а 𝑅 растёт.</w:t>
      </w:r>
      <w:r>
        <w:t xml:space="preserve"> </w:t>
      </w:r>
      <w:r>
        <w:t xml:space="preserve">— Анимация даёт динамическое представление о том, как волна инфекции про-</w:t>
      </w:r>
      <w:r>
        <w:t xml:space="preserve"> </w:t>
      </w:r>
      <w:r>
        <w:t xml:space="preserve">ходит через популяцию.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saveat, 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[β, γ])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"Симуляция завершена. Всего кадров: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[df.S[i], df.I[i], df.R[i]],</w:t>
      </w:r>
      <w:r>
        <w:br/>
      </w:r>
      <w:r>
        <w:rPr>
          <w:rStyle w:val="NormalTok"/>
        </w:rPr>
        <w:t xml:space="preserve">        ylims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 dynamics at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(df.time[i],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green,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blue],</w:t>
      </w:r>
      <w:r>
        <w:br/>
      </w:r>
      <w:r>
        <w:rPr>
          <w:rStyle w:val="NormalTok"/>
        </w:rPr>
        <w:t xml:space="preserve">        bar_width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 в plots/sir_animation.gif"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replacing module SIRPetri.</w:t>
      </w:r>
      <w:r>
        <w:br/>
      </w:r>
      <w:r>
        <w:rPr>
          <w:rStyle w:val="VerbatimChar"/>
        </w:rPr>
        <w:t xml:space="preserve">WARNING: using SIRPetri.build_sir_network in module Notebook conflicts with an existing identifier.</w:t>
      </w:r>
      <w:r>
        <w:br/>
      </w:r>
      <w:r>
        <w:rPr>
          <w:rStyle w:val="VerbatimChar"/>
        </w:rPr>
        <w:t xml:space="preserve">WARNING: using SIRPetri.simulate_deterministic in module Notebook conflicts with an existing identifier.</w:t>
      </w:r>
      <w:r>
        <w:br/>
      </w:r>
      <w:r>
        <w:rPr>
          <w:rStyle w:val="VerbatimChar"/>
        </w:rPr>
        <w:t xml:space="preserve">WARNING: using SIRPetri.simulate_stochastic in module Notebook conflicts with an existing identifier.</w:t>
      </w:r>
      <w:r>
        <w:br/>
      </w:r>
      <w:r>
        <w:rPr>
          <w:rStyle w:val="VerbatimChar"/>
        </w:rPr>
        <w:t xml:space="preserve">WARNING: using SIRPetri.plot_sir in module Notebook conflicts with an existing identifier.</w:t>
      </w:r>
      <w:r>
        <w:br/>
      </w:r>
      <w:r>
        <w:rPr>
          <w:rStyle w:val="VerbatimChar"/>
        </w:rPr>
        <w:t xml:space="preserve">Симуляция завершена. Всего кадров: 501</w:t>
      </w:r>
      <w:r>
        <w:br/>
      </w:r>
      <w:r>
        <w:rPr>
          <w:rStyle w:val="VerbatimChar"/>
        </w:rPr>
        <w:t xml:space="preserve">Could not create decoration from factory! Running with no decorations.</w:t>
      </w:r>
      <w:r>
        <w:br/>
      </w:r>
      <w:r>
        <w:rPr>
          <w:rStyle w:val="VerbatimChar"/>
        </w:rPr>
        <w:t xml:space="preserve">[ Info: Saved animation to /home/vparbatova/work/study/2025-2026/Иммитационное моделирование/immod/labs/lab06/project/plots/sir_animation.gif</w:t>
      </w:r>
      <w:r>
        <w:br/>
      </w:r>
      <w:r>
        <w:rPr>
          <w:rStyle w:val="VerbatimChar"/>
        </w:rPr>
        <w:t xml:space="preserve">Анимация сохранена в plots/sir_animation.gif</w:t>
      </w:r>
    </w:p>
    <w:p>
      <w:pPr>
        <w:pStyle w:val="FirstParagraph"/>
      </w:pPr>
      <w:r>
        <w:t xml:space="preserve">— plots/sir_animation.gif — анимация, где каждый кадр соответствует одному</w:t>
      </w:r>
      <w:r>
        <w:t xml:space="preserve"> </w:t>
      </w:r>
      <w:r>
        <w:t xml:space="preserve">моменту времени и отображает столбчатую диаграмму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t>R</m:t>
        </m:r>
      </m:oMath>
    </w:p>
    <w:bookmarkEnd w:id="39"/>
    <w:bookmarkStart w:id="48" w:name="итоговый-отчёт"/>
    <w:p>
      <w:pPr>
        <w:pStyle w:val="Heading2"/>
      </w:pPr>
      <w:r>
        <w:t xml:space="preserve">3.4 Итоговый отчёт</w:t>
      </w:r>
    </w:p>
    <w:p>
      <w:pPr>
        <w:pStyle w:val="FirstParagraph"/>
      </w:pPr>
      <w:r>
        <w:t xml:space="preserve">— Загружает ранее сохранённые результаты (sir_det.csv, sir_stoch.csv,</w:t>
      </w:r>
      <w:r>
        <w:t xml:space="preserve"> </w:t>
      </w:r>
      <w:r>
        <w:t xml:space="preserve">sir_scan.csv) и строит сравнительные графики для итогового отчёта:</w:t>
      </w:r>
      <w:r>
        <w:t xml:space="preserve"> </w:t>
      </w:r>
      <w:r>
        <w:t xml:space="preserve">— Сравнение детерминированной и стохастической динамики инфицирован-</w:t>
      </w:r>
      <w:r>
        <w:t xml:space="preserve"> </w:t>
      </w:r>
      <w:r>
        <w:t xml:space="preserve">ных I(t).</w:t>
      </w:r>
      <w:r>
        <w:t xml:space="preserve"> </w:t>
      </w:r>
      <w:r>
        <w:t xml:space="preserve">— Зависимость пика I от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(результат сканирования).</w:t>
      </w:r>
    </w:p>
    <w:p>
      <w:pPr>
        <w:pStyle w:val="BodyText"/>
      </w:pPr>
      <w:r>
        <w:t xml:space="preserve">— Сравнение детерминированной и стохастической кривых I(t) показывает, на-</w:t>
      </w:r>
      <w:r>
        <w:t xml:space="preserve"> </w:t>
      </w:r>
      <w:r>
        <w:t xml:space="preserve">сколько велик разброс, вызванный случайностью. При большом размере попу-</w:t>
      </w:r>
      <w:r>
        <w:t xml:space="preserve"> </w:t>
      </w:r>
      <w:r>
        <w:t xml:space="preserve">ляции они близки.</w:t>
      </w:r>
      <w:r>
        <w:t xml:space="preserve"> </w:t>
      </w:r>
      <w:r>
        <w:t xml:space="preserve">— График чувствительности позволяет количественно оценить, как изменение</w:t>
      </w:r>
      <w:r>
        <w:t xml:space="preserve"> </w:t>
      </w:r>
      <w:r>
        <w:t xml:space="preserve">заразности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влияет на тяжесть эпидемии (пик I). Это важно для принятия</w:t>
      </w:r>
      <w:r>
        <w:t xml:space="preserve"> </w:t>
      </w:r>
      <w:r>
        <w:t xml:space="preserve">решений (например, меры по снижению</w:t>
      </w:r>
      <w:r>
        <w:t xml:space="preserve"> </w:t>
      </w:r>
      <m:oMath>
        <m:r>
          <m:t>β</m:t>
        </m:r>
      </m:oMath>
      <w:r>
        <w:t xml:space="preserve">)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p>
      <w:pPr>
        <w:pStyle w:val="SourceCode"/>
      </w:pPr>
      <w:r>
        <w:rPr>
          <w:rStyle w:val="VerbatimChar"/>
        </w:rPr>
        <w:t xml:space="preserve">15×3 DataFrame</w:t>
      </w:r>
      <w:r>
        <w:br/>
      </w:r>
      <w:r>
        <w:rPr>
          <w:rStyle w:val="VerbatimChar"/>
        </w:rPr>
        <w:t xml:space="preserve"> Row │ β        peak_I   final_R </w:t>
      </w:r>
      <w:r>
        <w:br/>
      </w:r>
      <w:r>
        <w:rPr>
          <w:rStyle w:val="VerbatimChar"/>
        </w:rPr>
        <w:t xml:space="preserve">     │ Float64  Float64  Float64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</w:t>
      </w:r>
      <w:r>
        <w:br/>
      </w:r>
      <w:r>
        <w:rPr>
          <w:rStyle w:val="VerbatimChar"/>
        </w:rPr>
        <w:t xml:space="preserve">   1 │    0.1   955.626  999.954</w:t>
      </w:r>
      <w:r>
        <w:br/>
      </w:r>
      <w:r>
        <w:rPr>
          <w:rStyle w:val="VerbatimChar"/>
        </w:rPr>
        <w:t xml:space="preserve">   2 │    0.15  954.157  999.954</w:t>
      </w:r>
      <w:r>
        <w:br/>
      </w:r>
      <w:r>
        <w:rPr>
          <w:rStyle w:val="VerbatimChar"/>
        </w:rPr>
        <w:t xml:space="preserve">   3 │    0.2   953.424  999.954</w:t>
      </w:r>
      <w:r>
        <w:br/>
      </w:r>
      <w:r>
        <w:rPr>
          <w:rStyle w:val="VerbatimChar"/>
        </w:rPr>
        <w:t xml:space="preserve">   4 │    0.25  952.984  999.955</w:t>
      </w:r>
      <w:r>
        <w:br/>
      </w:r>
      <w:r>
        <w:rPr>
          <w:rStyle w:val="VerbatimChar"/>
        </w:rPr>
        <w:t xml:space="preserve">   5 │    0.3   952.691  999.955</w:t>
      </w:r>
      <w:r>
        <w:br/>
      </w:r>
      <w:r>
        <w:rPr>
          <w:rStyle w:val="VerbatimChar"/>
        </w:rPr>
        <w:t xml:space="preserve">   6 │    0.35  952.482  999.955</w:t>
      </w:r>
      <w:r>
        <w:br/>
      </w:r>
      <w:r>
        <w:rPr>
          <w:rStyle w:val="VerbatimChar"/>
        </w:rPr>
        <w:t xml:space="preserve">   7 │    0.4   952.326  999.955</w:t>
      </w:r>
      <w:r>
        <w:br/>
      </w:r>
      <w:r>
        <w:rPr>
          <w:rStyle w:val="VerbatimChar"/>
        </w:rPr>
        <w:t xml:space="preserve">   8 │    0.45  952.204  999.955</w:t>
      </w:r>
      <w:r>
        <w:br/>
      </w:r>
      <w:r>
        <w:rPr>
          <w:rStyle w:val="VerbatimChar"/>
        </w:rPr>
        <w:t xml:space="preserve">   9 │    0.5   952.106  999.955</w:t>
      </w:r>
      <w:r>
        <w:br/>
      </w:r>
      <w:r>
        <w:rPr>
          <w:rStyle w:val="VerbatimChar"/>
        </w:rPr>
        <w:t xml:space="preserve">  10 │    0.55  952.026  999.955</w:t>
      </w:r>
      <w:r>
        <w:br/>
      </w:r>
      <w:r>
        <w:rPr>
          <w:rStyle w:val="VerbatimChar"/>
        </w:rPr>
        <w:t xml:space="preserve">  11 │    0.6   951.96   999.955</w:t>
      </w:r>
      <w:r>
        <w:br/>
      </w:r>
      <w:r>
        <w:rPr>
          <w:rStyle w:val="VerbatimChar"/>
        </w:rPr>
        <w:t xml:space="preserve">  12 │    0.65  951.904  999.955</w:t>
      </w:r>
      <w:r>
        <w:br/>
      </w:r>
      <w:r>
        <w:rPr>
          <w:rStyle w:val="VerbatimChar"/>
        </w:rPr>
        <w:t xml:space="preserve">  13 │    0.7   951.856  999.955</w:t>
      </w:r>
      <w:r>
        <w:br/>
      </w:r>
      <w:r>
        <w:rPr>
          <w:rStyle w:val="VerbatimChar"/>
        </w:rPr>
        <w:t xml:space="preserve">  14 │    0.75  951.814  999.955</w:t>
      </w:r>
      <w:r>
        <w:br/>
      </w:r>
      <w:r>
        <w:rPr>
          <w:rStyle w:val="VerbatimChar"/>
        </w:rPr>
        <w:t xml:space="preserve">  15 │    0.8   951.777  999.955</w:t>
      </w:r>
    </w:p>
    <w:p>
      <w:pPr>
        <w:pStyle w:val="FirstParagraph"/>
      </w:pPr>
      <w:r>
        <w:t xml:space="preserve">Сравнение детерминированной и стохастической динамики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df_det.time,</w:t>
      </w:r>
      <w:r>
        <w:br/>
      </w:r>
      <w:r>
        <w:rPr>
          <w:rStyle w:val="NormalTok"/>
        </w:rPr>
        <w:t xml:space="preserve">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Could not create decoration from factory! Running with no decorations.</w:t>
      </w:r>
    </w:p>
    <w:p>
      <w:pPr>
        <w:pStyle w:val="SourceCode"/>
      </w:pPr>
      <w:r>
        <w:rPr>
          <w:rStyle w:val="VerbatimChar"/>
        </w:rPr>
        <w:t xml:space="preserve">"/home/vparbatova/work/study/2025-2026/Иммитационное моделирование/immod/labs/lab06/project/plots/comparison.png"</w:t>
      </w:r>
    </w:p>
    <w:p>
      <w:pPr>
        <w:pStyle w:val="FirstParagraph"/>
      </w:pPr>
      <w:r>
        <w:t xml:space="preserve">Зависимость пика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df_scan.β,</w:t>
      </w:r>
      <w:r>
        <w:br/>
      </w:r>
      <w:r>
        <w:rPr>
          <w:rStyle w:val="NormalTok"/>
        </w:rPr>
        <w:t xml:space="preserve">df_scan.peak_I,</w:t>
      </w:r>
      <w:r>
        <w:br/>
      </w:r>
      <w:r>
        <w:rPr>
          <w:rStyle w:val="NormalTok"/>
        </w:rPr>
        <w:t xml:space="preserve">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 в plots/"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Отчётные графики сохранены в plots/</w:t>
      </w:r>
      <w:r>
        <w:br/>
      </w:r>
      <w:r>
        <w:rPr>
          <w:rStyle w:val="VerbatimChar"/>
        </w:rPr>
        <w:t xml:space="preserve">Could not create decoration from factory! Running with no decorations.</w:t>
      </w:r>
    </w:p>
    <w:p>
      <w:pPr>
        <w:pStyle w:val="FirstParagraph"/>
      </w:pPr>
      <w:r>
        <w:t xml:space="preserve">— plots/comparison.png — два графика I(t) (детерминированный vs стохасти-</w:t>
      </w:r>
      <w:r>
        <w:t xml:space="preserve"> </w:t>
      </w:r>
      <w:r>
        <w:t xml:space="preserve">ческий) на одной координатной плоскости {#fig-004 width=70%}</w:t>
      </w:r>
      <w:r>
        <w:t xml:space="preserve"> </w:t>
      </w:r>
      <w:r>
        <w:t xml:space="preserve">— plots/sensitivity.png — график peak_I(</w:t>
      </w:r>
      <m:oMath>
        <m:r>
          <m:t>β</m:t>
        </m:r>
      </m:oMath>
      <w:r>
        <w:t xml:space="preserve">) (те же данные, что и в</w:t>
      </w:r>
      <w:r>
        <w:t xml:space="preserve"> </w:t>
      </w:r>
      <w:r>
        <w:t xml:space="preserve">sir_scan.png) {#fig-005 width=70%}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4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comparison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два графика I(t) (детерминированный vs стохастический) на одной координатной плоскости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5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sensitivity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peak_I(</w:t>
            </w:r>
            <m:oMath>
              <m:r>
                <m:t>β</m:t>
              </m:r>
            </m:oMath>
            <w:r>
              <w:t xml:space="preserve">)</w:t>
            </w:r>
          </w:p>
          <w:bookmarkEnd w:id="47"/>
        </w:tc>
      </w:tr>
    </w:tbl>
    <w:bookmarkEnd w:id="48"/>
    <w:bookmarkEnd w:id="49"/>
    <w:bookmarkStart w:id="5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выполнила предложенный код и построила сеть Петри для модели SIR</w:t>
      </w:r>
    </w:p>
    <w:bookmarkEnd w:id="50"/>
    <w:bookmarkStart w:id="60" w:name="список-литературы"/>
    <w:p>
      <w:pPr>
        <w:pStyle w:val="Heading1"/>
      </w:pPr>
      <w:r>
        <w:t xml:space="preserve">Список литературы</w:t>
      </w:r>
    </w:p>
    <w:bookmarkStart w:id="59" w:name="refs"/>
    <w:bookmarkStart w:id="52" w:name="ref-gillespie_stochasti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Gillespie D. T.</w:t>
      </w:r>
      <w:r>
        <w:t xml:space="preserve"> </w:t>
      </w:r>
      <w:hyperlink r:id="rId51">
        <w:r>
          <w:rPr>
            <w:rStyle w:val="Hyperlink"/>
          </w:rPr>
          <w:t xml:space="preserve">A General Method for Numerically Simulating the Stochastic Time Evolution of Coupled Chemical Reactions</w:t>
        </w:r>
      </w:hyperlink>
      <w:r>
        <w:t xml:space="preserve"> </w:t>
      </w:r>
      <w:r>
        <w:t xml:space="preserve">// Journal of Computational Physics. 1976. Т. 22, № 4. С. 403–434.</w:t>
      </w:r>
    </w:p>
    <w:bookmarkEnd w:id="52"/>
    <w:bookmarkStart w:id="54" w:name="ref-murata_petri_nets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Murata T.</w:t>
      </w:r>
      <w:r>
        <w:t xml:space="preserve"> </w:t>
      </w:r>
      <w:hyperlink r:id="rId53">
        <w:r>
          <w:rPr>
            <w:rStyle w:val="Hyperlink"/>
          </w:rPr>
          <w:t xml:space="preserve">Petri Nets: Properties, Analysis and Applications</w:t>
        </w:r>
      </w:hyperlink>
      <w:r>
        <w:t xml:space="preserve"> </w:t>
      </w:r>
      <w:r>
        <w:t xml:space="preserve">// Proceedings of the IEEE. 1989. Т. 77, № 4. С. 541–580.</w:t>
      </w:r>
    </w:p>
    <w:bookmarkEnd w:id="54"/>
    <w:bookmarkStart w:id="56" w:name="ref-kermack_mckendrick_1927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Kermack W. O., McKendrick A. G.</w:t>
      </w:r>
      <w:r>
        <w:t xml:space="preserve"> </w:t>
      </w:r>
      <w:hyperlink r:id="rId55">
        <w:r>
          <w:rPr>
            <w:rStyle w:val="Hyperlink"/>
          </w:rPr>
          <w:t xml:space="preserve">A Contribution to the Mathematical Theory of Epidemics</w:t>
        </w:r>
      </w:hyperlink>
      <w:r>
        <w:t xml:space="preserve"> </w:t>
      </w:r>
      <w:r>
        <w:t xml:space="preserve">// Proceedings of the Royal Society of London. Series A. 1927. Т. 115, № 772. С. 700–721.</w:t>
      </w:r>
    </w:p>
    <w:bookmarkEnd w:id="56"/>
    <w:bookmarkStart w:id="58" w:name="ref-lab06_sir_petri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Королькова А. В., Кулябов Д. С.</w:t>
      </w:r>
      <w:r>
        <w:t xml:space="preserve"> </w:t>
      </w:r>
      <w:hyperlink r:id="rId57">
        <w:r>
          <w:rPr>
            <w:rStyle w:val="Hyperlink"/>
          </w:rPr>
          <w:t xml:space="preserve">Лабораторная работа №6: Реализация основных моделей в подходе сетей Петри</w:t>
        </w:r>
      </w:hyperlink>
      <w:r>
        <w:t xml:space="preserve">. Российский университет дружбы народов, 2025.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hyperlink" Id="rId51" Target="https://doi.org/10.1016/0021-9991(76)90041-3" TargetMode="External" /><Relationship Type="http://schemas.openxmlformats.org/officeDocument/2006/relationships/hyperlink" Id="rId55" Target="https://doi.org/10.1098/rspa.1927.0118" TargetMode="External" /><Relationship Type="http://schemas.openxmlformats.org/officeDocument/2006/relationships/hyperlink" Id="rId53" Target="https://doi.org/10.1109/5.24143" TargetMode="External" /><Relationship Type="http://schemas.openxmlformats.org/officeDocument/2006/relationships/hyperlink" Id="rId57" Target="https://esystem.rudn.ru/pluginfile.php/3145800/mod_resource/content/1/lab06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16/0021-9991(76)90041-3" TargetMode="External" /><Relationship Type="http://schemas.openxmlformats.org/officeDocument/2006/relationships/hyperlink" Id="rId55" Target="https://doi.org/10.1098/rspa.1927.0118" TargetMode="External" /><Relationship Type="http://schemas.openxmlformats.org/officeDocument/2006/relationships/hyperlink" Id="rId53" Target="https://doi.org/10.1109/5.24143" TargetMode="External" /><Relationship Type="http://schemas.openxmlformats.org/officeDocument/2006/relationships/hyperlink" Id="rId57" Target="https://esystem.rudn.ru/pluginfile.php/3145800/mod_resource/content/1/lab06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Арбатова Варвара Петровна</dc:creator>
  <dc:language>ru-RU</dc:language>
  <cp:keywords/>
  <dcterms:created xsi:type="dcterms:W3CDTF">2026-04-17T18:43:39Z</dcterms:created>
  <dcterms:modified xsi:type="dcterms:W3CDTF">2026-04-17T18:43:39Z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Иммитационное моделирование</vt:lpwstr>
  </property>
  <property fmtid="{D5CDD505-2E9C-101B-9397-08002B2CF9AE}" pid="18" name="toc-title">
    <vt:lpwstr>Содержание</vt:lpwstr>
  </property>
</Properties>
</file>