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простейшую математическую модель конкуренции двух фирм.</w:t>
      </w:r>
    </w:p>
    <w:bookmarkEnd w:id="9"/>
    <w:bookmarkStart w:id="11" w:name="задание"/>
    <w:p>
      <w:pPr>
        <w:pStyle w:val="Heading1"/>
      </w:pPr>
      <w:r>
        <w:t xml:space="preserve">2. Задание</w:t>
      </w:r>
    </w:p>
    <w:bookmarkStart w:id="10" w:name="вариант-21"/>
    <w:p>
      <w:pPr>
        <w:pStyle w:val="Heading2"/>
      </w:pPr>
      <w:r>
        <w:t xml:space="preserve">2.1 Вариант 21</w:t>
      </w:r>
    </w:p>
    <w:p>
      <w:pPr>
        <w:pStyle w:val="FirstParagraph"/>
      </w:pPr>
      <w:r>
        <w:rPr>
          <w:i/>
          <w:iCs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10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0.00083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$$M(0)_1=7, \, M(0)_2=8,\\ p_{cr}=45, \,N=70, q=1, \\ \tau_1=25, \, \tau_2=20,\\ \tilde{p_1}=10, \, \tilde{p_2}=7.7$$</w:t>
      </w:r>
    </w:p>
    <w:p>
      <w:pPr>
        <w:pStyle w:val="FirstParagraph"/>
      </w:pPr>
      <w:r>
        <w:rPr>
          <w:i/>
          <w:iCs/>
        </w:rPr>
        <w:t xml:space="preserve">Обозначения:</w:t>
      </w:r>
    </w:p>
    <w:p>
      <w:pPr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numPr>
          <w:ilvl w:val="0"/>
          <w:numId w:val="1001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numPr>
          <w:ilvl w:val="0"/>
          <w:numId w:val="1001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numPr>
          <w:ilvl w:val="0"/>
          <w:numId w:val="1001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numPr>
          <w:ilvl w:val="0"/>
          <w:numId w:val="1001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numPr>
          <w:ilvl w:val="0"/>
          <w:numId w:val="1002"/>
        </w:numPr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p>
      <w:pPr>
        <w:numPr>
          <w:ilvl w:val="0"/>
          <w:numId w:val="1002"/>
        </w:numPr>
      </w:pPr>
      <w:r>
        <w:t xml:space="preserve">Найдите стационарное состояние системы для первого случая.</w:t>
      </w:r>
    </w:p>
    <w:bookmarkEnd w:id="10"/>
    <w:bookmarkEnd w:id="11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Математическому моделированию процессов конкуренции и сотрудничества двух фирм на различных рынках посвящено довольно много научных работ, в основном использующих аппарат теории игр и статистических решений. В качестве примера можно привести работы таких исследователей, как Курно, Стакельберг, Бертран, Нэш, Парето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Следует отметить, что динамические дифференциальные модели уже давно и успешно используются для математического моделирования самых разнообразных по своей природе процессов. Достаточно упомянуть широко использующуюся в экологии модель «хищник-жертва» Вольтерра, математическую теорию развития эпидемий, модели боевых действий</w:t>
      </w:r>
    </w:p>
    <w:p>
      <w:pPr>
        <w:pStyle w:val="BodyText"/>
      </w:pPr>
      <w:r>
        <w:t xml:space="preserve">Задача решалась в следующей постановке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На рынке однородного товара присутствуют две основные фирмы, разделяющие его между собой, т.е. имеет место классическая дуополия.</w:t>
      </w:r>
    </w:p>
    <w:p>
      <w:pPr>
        <w:pStyle w:val="BodyText"/>
      </w:pPr>
      <w:r>
        <w:t xml:space="preserve">Безусловно, это является весьма сильным предположением, однако оно вполне оправдано в тех случаях, когда доля продаж остальных конкурентов на рассматриваемом сегменте рынке пренебрежимо мала. Хорошим примером может служить отечественный рынок микропроцессоров, который по существу разделили между собой две фирмы: Intel и AMD.</w:t>
      </w:r>
    </w:p>
    <w:p>
      <w:pPr>
        <w:pStyle w:val="BodyText"/>
      </w:pPr>
      <w:r>
        <w:t xml:space="preserve">Изменение объемов продаж конкурирующих фирм с течением времени описывается системой дифференциальных уравнений (</w:t>
      </w:r>
      <w:r>
        <w:t xml:space="preserve">[</w:t>
      </w:r>
      <w:r>
        <w:rPr>
          <w:b/>
          <w:bCs/>
        </w:rPr>
        <w:t xml:space="preserve">eq:eq:a?</w:t>
      </w:r>
      <w:r>
        <w:t xml:space="preserve">]</w:t>
      </w:r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{#eq:eq:a}</w:t>
      </w:r>
    </w:p>
    <w:p>
      <w:pPr>
        <w:pStyle w:val="BodyText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(</m:t>
            </m:r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t>N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(</m:t>
            </m:r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*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t>N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r>
              <m:rPr>
                <m:sty m:val="p"/>
              </m:rPr>
              <m:t>(</m:t>
            </m:r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p>
              <m:e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  <m:sup>
                <m:r>
                  <m:t>2</m:t>
                </m:r>
              </m:sup>
            </m:sSup>
            <m:sSup>
              <m:e>
                <m:acc>
                  <m:accPr>
                    <m:chr m:val="̃"/>
                  </m:acc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acc>
              </m:e>
              <m:sup>
                <m:r>
                  <m:t>2</m:t>
                </m:r>
              </m:sup>
            </m:sSup>
            <m:r>
              <m:t>N</m:t>
            </m:r>
            <m:r>
              <m:t>q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2</m:t>
                    </m:r>
                  </m:sub>
                </m:sSub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pStyle w:val="Compact"/>
        <w:numPr>
          <w:ilvl w:val="0"/>
          <w:numId w:val="1003"/>
        </w:numPr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– себестоимость продукта, то есть переменные издержки на производство единицы продукции.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– безразмерное время</w:t>
      </w:r>
    </w:p>
    <w:bookmarkEnd w:id="12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реализация-в-julia"/>
    <w:p>
      <w:pPr>
        <w:pStyle w:val="Heading2"/>
      </w:pPr>
      <w:r>
        <w:t xml:space="preserve">4.1 Реализация в julia</w:t>
      </w:r>
    </w:p>
    <w:p>
      <w:pPr>
        <w:pStyle w:val="FirstParagraph"/>
      </w:pPr>
      <w:r>
        <w:t xml:space="preserve">Зададим функцию для решения модели эффективности рекламы. Возьмем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50</m:t>
        </m:r>
        <m:r>
          <m:rPr>
            <m:sty m:val="p"/>
          </m:rPr>
          <m:t>]</m:t>
        </m:r>
      </m:oMath>
      <w:r>
        <w:t xml:space="preserve">. Рассмотрим сначала реализацию в Julia. Зададим начальные условия, значения параметров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p>
      <w:pPr>
        <w:pStyle w:val="FirstParagraph"/>
      </w:pPr>
      <w:r>
        <w:t xml:space="preserve">Зададим функцию для первого случая. Сразу же найдем стационарное состояние системы, для этого воспользуемся библиотекой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, зададим матрицу коэффициент системы линейных уравнений и вектор решений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(добавили у переменной индекс, так как переменная с таким именем уже используется в качестве параметра модели).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c1);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c1)]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b1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"Решение: 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Решение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13610.734352616824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8935.20445047258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Получим значение: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t>c</m:t>
            </m:r>
          </m:sub>
        </m:sSub>
        <m:r>
          <m:rPr>
            <m:sty m:val="p"/>
          </m:rPr>
          <m:t>=</m:t>
        </m:r>
        <m:r>
          <m:t>13610.734352616824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t>c</m:t>
            </m:r>
          </m:sub>
        </m:sSub>
        <m:r>
          <m:rPr>
            <m:sty m:val="p"/>
          </m:rPr>
          <m:t>=</m:t>
        </m:r>
        <m:r>
          <m:t>8935.20445047258</m:t>
        </m:r>
      </m:oMath>
      <w:r>
        <w:t xml:space="preserve">. Эти значения соответствуют максимальным значениям полученного решения модели.</w:t>
      </w:r>
    </w:p>
    <w:p>
      <w:pPr>
        <w:pStyle w:val="BodyText"/>
      </w:pPr>
      <w:r>
        <w:t xml:space="preserve">Для задания проблемы используется функция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для решения – численный метод Tsit5(), 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построим график решения для первого случая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])</w:t>
      </w:r>
    </w:p>
    <w:bookmarkStart w:id="16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для первого случая. julia" title="" id="14" name="Picture"/>
            <a:graphic>
              <a:graphicData uri="http://schemas.openxmlformats.org/drawingml/2006/picture">
                <pic:pic>
                  <pic:nvPicPr>
                    <pic:cNvPr descr="image/plot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для первого случая. julia</w:t>
      </w:r>
    </w:p>
    <w:bookmarkEnd w:id="16"/>
    <w:p>
      <w:pPr>
        <w:pStyle w:val="BodyText"/>
      </w:pPr>
      <w:r>
        <w:t xml:space="preserve">Зададим функцию для второго случая.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(du,u,p,t)</w:t>
      </w:r>
      <w:r>
        <w:br/>
      </w:r>
      <w:r>
        <w:rPr>
          <w:rStyle w:val="NormalTok"/>
        </w:rPr>
        <w:t xml:space="preserve">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0.00083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Для задания проблемы используется функция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а для решения – численный метод Tsit5(), с помощью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построим график решения для второго случая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])</w:t>
      </w:r>
    </w:p>
    <w:bookmarkStart w:id="20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оборотных средств для второго случая. julia" title="" id="18" name="Picture"/>
            <a:graphic>
              <a:graphicData uri="http://schemas.openxmlformats.org/drawingml/2006/picture">
                <pic:pic>
                  <pic:nvPicPr>
                    <pic:cNvPr descr="image/plot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оборотных средств для второго случая. julia</w:t>
      </w:r>
    </w:p>
    <w:bookmarkEnd w:id="20"/>
    <w:p>
      <w:pPr>
        <w:pStyle w:val="BodyText"/>
      </w:pPr>
      <w:r>
        <w:t xml:space="preserve">На графике плохо видно изменения оборотных средств второй фирмы, поэтому построим график с заданными ограничениями: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(sol2,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ylimit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xlimit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12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По графику видно, что вторая фирма, несмотря на начальный рост, достигнув своего максимального объема продаж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), начинает нести убытки и, в итоге, терпит банкротство. Динамика роста объемов оборотных средств первой фирмы остается без изменения: достигнув максимального значения, остается на этом уровне.</w:t>
      </w:r>
    </w:p>
    <w:bookmarkStart w:id="24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иближенный график изменения оборотных средств для второго случая. julia" title="" id="22" name="Picture"/>
            <a:graphic>
              <a:graphicData uri="http://schemas.openxmlformats.org/drawingml/2006/picture">
                <pic:pic>
                  <pic:nvPicPr>
                    <pic:cNvPr descr="image/plot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Приближенный график изменения оборотных средств для второго случая. julia</w:t>
      </w:r>
    </w:p>
    <w:bookmarkEnd w:id="24"/>
    <w:bookmarkEnd w:id="25"/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Построили математическую модель конкуренции двух фирм.</w:t>
      </w:r>
    </w:p>
    <w:bookmarkEnd w:id="27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Start w:id="28" w:name="ref-mode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Малыхин В. И.</w:t>
      </w:r>
      <w:r>
        <w:t xml:space="preserve"> </w:t>
      </w:r>
      <w:r>
        <w:t xml:space="preserve">Математическое моделирование экономики</w:t>
      </w:r>
      <w:r>
        <w:t xml:space="preserve">. М., УРАО, 1998. 160 с.</w:t>
      </w:r>
    </w:p>
    <w:bookmarkEnd w:id="28"/>
    <w:bookmarkStart w:id="29" w:name="ref-lab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Кулябов Д. С.</w:t>
      </w:r>
      <w:r>
        <w:t xml:space="preserve"> </w:t>
      </w:r>
      <w:r>
        <w:t xml:space="preserve">Лабораторная работа 8. Модель конкуренции двух фирм</w:t>
      </w:r>
      <w:r>
        <w:t xml:space="preserve"> </w:t>
      </w:r>
      <w:r>
        <w:t xml:space="preserve">[Электронный ресурс].</w:t>
      </w:r>
    </w:p>
    <w:bookmarkEnd w:id="29"/>
    <w:bookmarkEnd w:id="30"/>
    <w:bookmarkEnd w:id="31"/>
    <w:bookmarkStart w:id="32" w:name="выводы-1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Построили математическую модель конкуренции двух фирм.</w:t>
      </w:r>
    </w:p>
    <w:bookmarkEnd w:id="32"/>
    <w:bookmarkStart w:id="36" w:name="список-литературы-1"/>
    <w:p>
      <w:pPr>
        <w:pStyle w:val="Heading1"/>
      </w:pPr>
      <w:r>
        <w:t xml:space="preserve">Список литературы</w:t>
      </w:r>
    </w:p>
    <w:bookmarkStart w:id="35" w:name="refs"/>
    <w:bookmarkStart w:id="33" w:name="ref-mode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Малыхин В. И.</w:t>
      </w:r>
      <w:r>
        <w:t xml:space="preserve"> </w:t>
      </w:r>
      <w:r>
        <w:t xml:space="preserve">Математическое моделирование экономики</w:t>
      </w:r>
      <w:r>
        <w:t xml:space="preserve">. М., УРАО, 1998. 160 с.</w:t>
      </w:r>
    </w:p>
    <w:bookmarkEnd w:id="33"/>
    <w:bookmarkStart w:id="34" w:name="ref-lab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Кулябов Д. С.</w:t>
      </w:r>
      <w:r>
        <w:t xml:space="preserve"> </w:t>
      </w:r>
      <w:r>
        <w:t xml:space="preserve">Лабораторная работа 8. Модель конкуренции двух фирм</w:t>
      </w:r>
      <w:r>
        <w:t xml:space="preserve"> </w:t>
      </w:r>
      <w:r>
        <w:t xml:space="preserve">[Электронный ресурс].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Арбатова Варвара Петровна</dc:creator>
  <dc:language>ru-RU</dc:language>
  <cp:keywords/>
  <dcterms:created xsi:type="dcterms:W3CDTF">2026-05-19T15:19:01Z</dcterms:created>
  <dcterms:modified xsi:type="dcterms:W3CDTF">2026-05-19T15:19:01Z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Математическое моделирование</vt:lpwstr>
  </property>
  <property fmtid="{D5CDD505-2E9C-101B-9397-08002B2CF9AE}" pid="18" name="toc-title">
    <vt:lpwstr>Содержание</vt:lpwstr>
  </property>
</Properties>
</file>