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HRVATSKA POŠTANSKA BANKA,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dioničko društvo, Zagreb, Jurišićeva ulica 4, OIB 87939104217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Banka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), račun broj: HR4623900011070000029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Korisnik kredita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Solidarni dužnik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Solidarni jamac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ys1s8uu0wwb8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Solidarni jamac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zastupana po ovlaštenoj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osobi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___________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dalje zajedno: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Ugovorne strane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zaključuju dana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[DD.MM.GGGG.]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[upisati datum slovima])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godine u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[upisati mjesto]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DODATAK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UGOVORU</w:t>
      </w:r>
    </w:p>
    <w:p w:rsidR="00000000" w:rsidDel="00000000" w:rsidP="00000000" w:rsidRDefault="00000000" w:rsidRPr="00000000" w14:paraId="00000015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[upisati naziv ugovora – npr. o nenamjenskom kreditu]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BROJ: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[9910000000]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[upisati broj kreditne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partije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A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Dodatak br.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__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UVOD</w:t>
      </w:r>
    </w:p>
    <w:p w:rsidR="00000000" w:rsidDel="00000000" w:rsidP="00000000" w:rsidRDefault="00000000" w:rsidRPr="00000000" w14:paraId="0000001E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Ugovorne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strane ovog Dodatka br.__ suglasno utvrđuju da je Nova hrvatska banka dioničko društvo sa sjedištem u Zagrebu, Varšavska ulica 9, OIB: 78427478595 (ranije: Sberbank d.d., Zagreb, Varšavska ulica 9, OIB 78427478595, ranije: VOLKSBANK d.d., Zagreb, Varšavska ulica 9, OIB 78427478595) (u daljnjem tekstu: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Pripojeno društvo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), na temelju rješenja Trgovačkog suda u Zagrebu Tt-23/25802-2 od 3. srpnja 2023. godine pripojena Banci te su prava i obveze Pripojenog društva u skladu s odredbama Zakona o trgovačkim društvima prešla na Banku kao društvo preuzimatelja, temeljem čega Ugovorne strane ovog Dodatka br.__  pristupaju sklapanju istog.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1.</w:t>
      </w:r>
    </w:p>
    <w:p w:rsidR="00000000" w:rsidDel="00000000" w:rsidP="00000000" w:rsidRDefault="00000000" w:rsidRPr="00000000" w14:paraId="00000022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Ugovorne strane suglasno utvrđuju da su u istim svojstvima dana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[DD.MM.GGGG.]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 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[upisati datum slovima]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godine zaključile Ugovor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[upisati naziv ugovora – npr. o stambenom potrošačkom kreditu]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broj: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9910000000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(dalje: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Ugovor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temeljem kojeg je Banka Korisniku kredita stavila na raspolaganje kredit u iznosu 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[XX.XXX,XX]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[VALUTA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[upisati slovima iznos]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odnosno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IZNOS_KREDITA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IZNOS_SL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po fiksnom tečaju konverzije (1,00 EUR = 7,53450 kn)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sukladno uvjetima iz Ugovora.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Ugovorne strane ovog Dodatka br.__ suglasno utvrđuju da je nakon uvođenja EUR-a kao službene valute u Republici Hrvatskoj, Ugovoru dodijeljen novi broj kredita koji sada glasi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9910000000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Nadalje, Ugovorne strane suglasno utvrđuju da je nakon pripajanja pravnog prednika Banke Banci, Ugovoru dodijeljen novi broj evidencije kredita koji sada glasi: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9910000000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2.</w:t>
      </w:r>
    </w:p>
    <w:p w:rsidR="00000000" w:rsidDel="00000000" w:rsidP="00000000" w:rsidRDefault="00000000" w:rsidRPr="00000000" w14:paraId="0000002C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268"/>
          <w:tab w:val="left" w:leader="none" w:pos="3402"/>
        </w:tabs>
        <w:spacing w:line="240" w:lineRule="auto"/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Nadalje, Ugovorne strane ovog Dodatka br.__ suglasno utvrđuju da uslijed uplate na ime obveze utvrđene u članku 1. ovog Dodatka br.__, u iznosu od [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XX.XXX,XX]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[upisati slovima iznos]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u korist smanjenja nedospjele glavnice kredita ista sada iznosi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[XX.XXX,XX]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[upisati slovima iznos]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268"/>
          <w:tab w:val="left" w:leader="none" w:pos="3402"/>
        </w:tabs>
        <w:spacing w:line="240" w:lineRule="auto"/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2)  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Mjesečni anuitet na preostali iznos nedospjele glavnice iznosi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[XX.XXX,XX]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[upisati slovima iznos]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te se mijenja datum dospijeća zadnjeg anuiteta sukladno planu otplate kredita.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 Mjesečni anuitet na preostali iznos nedospjele glavnice iznosi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[XX.XXX,XX]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[upisati  slovima iznos]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268"/>
          <w:tab w:val="left" w:leader="none" w:pos="3402"/>
        </w:tabs>
        <w:spacing w:line="240" w:lineRule="auto"/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blubqurch04h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3)  Banka će Korisniku kredita te ostalim sudionicima kreditnog posla iz ovog Dodatka br.__ uručiti novi otplatni plan, a Korisnik kredita se obvezuje daljnja plaćanja po kreditu obavljati sukladno uručenom otplatnom planu.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268"/>
          <w:tab w:val="left" w:leader="none" w:pos="3402"/>
        </w:tabs>
        <w:spacing w:line="240" w:lineRule="auto"/>
        <w:ind w:left="3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4)  Primitak otplatnog plana Korisnik kredita i ostali sudionici kreditnog posla iz ovog Dodatka  br.__potvrđuju potpisom ovog Dodatka br.__. </w:t>
      </w:r>
    </w:p>
    <w:p w:rsidR="00000000" w:rsidDel="00000000" w:rsidP="00000000" w:rsidRDefault="00000000" w:rsidRPr="00000000" w14:paraId="00000034">
      <w:pPr>
        <w:tabs>
          <w:tab w:val="left" w:leader="none" w:pos="2268"/>
          <w:tab w:val="left" w:leader="none" w:pos="3402"/>
          <w:tab w:val="left" w:leader="none" w:pos="3720"/>
          <w:tab w:val="center" w:leader="none" w:pos="4394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268"/>
          <w:tab w:val="left" w:leader="none" w:pos="3402"/>
          <w:tab w:val="left" w:leader="none" w:pos="3720"/>
          <w:tab w:val="center" w:leader="none" w:pos="4394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3.</w:t>
      </w:r>
    </w:p>
    <w:p w:rsidR="00000000" w:rsidDel="00000000" w:rsidP="00000000" w:rsidRDefault="00000000" w:rsidRPr="00000000" w14:paraId="00000036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Ugovorne strane suglasno utvrđuju da ostale odredbe Ugovora koje nisu mijenjane ovim Dodatkom br.__ ostaju i dalje na snazi te se i dalje primjenjuju do otplate kredita u cijelosti.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4.</w:t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Ovaj Dodatak br.__ je 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sačinjen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tri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istovjetna primjerka od kojih su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dva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primjerka za Banku, a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 (slovima: jedan) primjerak za Korisnika kredita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POPIS_VEZ_OSB_A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67"/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67"/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KORISNIK KREDITA</w:t>
        <w:tab/>
        <w:tab/>
        <w:tab/>
        <w:tab/>
        <w:tab/>
        <w:tab/>
        <w:tab/>
        <w:tab/>
        <w:t xml:space="preserve">ZA BANKU:</w:t>
      </w:r>
    </w:p>
    <w:p w:rsidR="00000000" w:rsidDel="00000000" w:rsidP="00000000" w:rsidRDefault="00000000" w:rsidRPr="00000000" w14:paraId="00000040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</w:t>
        <w:tab/>
        <w:tab/>
        <w:tab/>
        <w:tab/>
        <w:tab/>
        <w:tab/>
        <w:tab/>
        <w:tab/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1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tabs>
          <w:tab w:val="left" w:leader="none" w:pos="21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SOLIDARNI DUŽNIK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SOLIDARNI JAMAC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1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1417" w:top="1417" w:left="1417" w:right="1417" w:header="17" w:footer="27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sipa Ljubičić" w:id="5" w:date="2024-08-27T15:13:00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HPB kredite: Ako je zbog konverzije u EUR došlo do promjene broja partije, ovdje se upisuje stari broj kreditne partije (u kunama).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NHB kredite: broj partije se eurokonverzijom nije mijenjao, no svakako se na navedeno mjesto upisuje ugovoreni broj kredita (inicijalni) iz NHB Ugovora. Dok se u točki 3. istog članka upisuje novi broj evidencije nastao migracijom u HPB.</w:t>
      </w:r>
    </w:p>
  </w:comment>
  <w:comment w:author="Tomić Nikola" w:id="11" w:date="2024-04-11T14:40:00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ako se NE mijenja rok otplate, u suprotnom brisati, a ostaviti gornju stavku.</w:t>
      </w:r>
    </w:p>
  </w:comment>
  <w:comment w:author="Huzek Natali" w:id="13" w:date="2023-03-01T11:10:00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Potrebno je upisati ostale sudionike ukoliko postoje.</w:t>
      </w:r>
    </w:p>
  </w:comment>
  <w:comment w:author="Tomić Nikola" w:id="0" w:date="2024-04-10T10:47:00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ako je pravna osoba jamac po kreditu, ako nema jamca pravne osobe onda se briše.</w:t>
      </w:r>
    </w:p>
  </w:comment>
  <w:comment w:author="Tomić Nikola" w:id="12" w:date="2024-04-11T14:37:00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Broj primjeraka ovisi o ukupnom broju sudionika + 2 za Banku</w:t>
      </w:r>
    </w:p>
  </w:comment>
  <w:comment w:author="Josipa Ljubičić" w:id="3" w:date="2024-10-08T12:38:00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Potrebno prilagoditi i navesti broj Dodatka, uzimajući u obzir eventualno od ranije sklopljene Dodatke.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Navedeno je potrebno unijeti u svim djelovima Dodatka, na svim mjestima na kojima se navodi termin "Dodatak br.__")</w:t>
      </w:r>
    </w:p>
  </w:comment>
  <w:comment w:author="Josipa Ljubičić" w:id="1" w:date="2024-10-08T12:38:00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Potrebno prilagoditi i navesti broj Dodatka, uzimajući u obzir eventualno od ranije sklopljene Dodatke.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Navedeno je potrebno unijeti u svim djelovima Dodatka, na svim mjestima na kojima se navodi termin "Dodatak br.__")</w:t>
      </w:r>
    </w:p>
  </w:comment>
  <w:comment w:author="Josipa Ljubičić" w:id="9" w:date="2024-08-27T14:33:00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Upisati broj nove partije dodijeljen nakon migracije.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Upisuje se samo kod ex NHB kredita.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 se radi o HPB kreditu-cijela točka se BRIŠE</w:t>
      </w:r>
    </w:p>
  </w:comment>
  <w:comment w:author="Josipa Ljubičić" w:id="2" w:date="2024-08-27T15:13:00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HPB kredite: Ako je zbog konverzije u EUR došlo do promjene broja partije, ovdje se upisuje stari broj kreditne partije (u kunama).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NHB kredite: broj partije se eurokonverzijom nije mijenjao, no svakako se na navedeno mjesto upisuje ugovoreni broj kredita (inicijalni) iz NHB Ugovora. Dok se u točki 3. istog članka upisuje novi broj evidencije nastao migracijom u HPB.</w:t>
      </w:r>
    </w:p>
  </w:comment>
  <w:comment w:author="Tomić Nikola" w:id="10" w:date="2024-04-11T14:40:00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ako se mijenja rok otplate, u suprotnom brisati, a ostaviti donju stavku.</w:t>
      </w:r>
    </w:p>
  </w:comment>
  <w:comment w:author="Petar Uroda" w:id="4" w:date="2024-07-29T09:10:00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samo ako je riječ o ex NHB kreditu u suprotno cijeli odjeljak se briše.</w:t>
      </w:r>
    </w:p>
  </w:comment>
  <w:comment w:author="Huzek Natali" w:id="6" w:date="2023-01-25T12:17:00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Upisuje se iznos u valuti u kojoj je bio odobren kredit.</w:t>
      </w:r>
    </w:p>
  </w:comment>
  <w:comment w:author="Huzek Natali" w:id="7" w:date="2023-01-25T12:19:00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samo ako je kredit bio odobren u HRK te je konvertiran u EUR.</w:t>
      </w:r>
    </w:p>
  </w:comment>
  <w:comment w:author="Josipa Ljubičić" w:id="8" w:date="2024-08-27T15:15:00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samo za HPB - kredite inicijalno odobrene (ugovorene) u HRK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Ukoliko se radi o exNHB kreditu (neovisno o valuti), navedena točka  se BRIŠE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F" w15:done="0"/>
  <w15:commentEx w15:paraId="00000060" w15:done="0"/>
  <w15:commentEx w15:paraId="00000061" w15:done="0"/>
  <w15:commentEx w15:paraId="00000062" w15:done="0"/>
  <w15:commentEx w15:paraId="00000063" w15:done="0"/>
  <w15:commentEx w15:paraId="00000065" w15:done="0"/>
  <w15:commentEx w15:paraId="00000067" w15:done="0"/>
  <w15:commentEx w15:paraId="0000006B" w15:done="0"/>
  <w15:commentEx w15:paraId="0000006E" w15:done="0"/>
  <w15:commentEx w15:paraId="0000006F" w15:done="0"/>
  <w15:commentEx w15:paraId="00000070" w15:done="0"/>
  <w15:commentEx w15:paraId="00000071" w15:done="0"/>
  <w15:commentEx w15:paraId="00000072" w15:done="0"/>
  <w15:commentEx w15:paraId="0000007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d"/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od" w:cs="Rod" w:eastAsia="Rod" w:hAnsi="Ro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Stranica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od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od" w:cs="Rod" w:eastAsia="Rod" w:hAnsi="Ro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918210</wp:posOffset>
          </wp:positionH>
          <wp:positionV relativeFrom="page">
            <wp:posOffset>540385</wp:posOffset>
          </wp:positionV>
          <wp:extent cx="1349375" cy="449580"/>
          <wp:effectExtent b="0" l="0" r="0" t="0"/>
          <wp:wrapNone/>
          <wp:docPr descr="hpb%20logo" id="2" name="image1.jpg"/>
          <a:graphic>
            <a:graphicData uri="http://schemas.openxmlformats.org/drawingml/2006/picture">
              <pic:pic>
                <pic:nvPicPr>
                  <pic:cNvPr descr="hpb%20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9375" cy="4495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ff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ff0000"/>
        <w:sz w:val="15"/>
        <w:szCs w:val="15"/>
        <w:u w:val="none"/>
        <w:shd w:fill="auto" w:val="clear"/>
        <w:vertAlign w:val="baseline"/>
        <w:rtl w:val="0"/>
      </w:rPr>
      <w:t xml:space="preserve">HRVATSKA POŠTANSKA BANKA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d" w:cs="Rod" w:eastAsia="Rod" w:hAnsi="Rod"/>
        <w:sz w:val="22"/>
        <w:szCs w:val="22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Times New Roman" w:cs="Times New Roman" w:eastAsia="Times New Roman" w:hAnsi="Times New Roman"/>
      <w:i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7BB3"/>
    <w:rPr>
      <w:rFonts w:ascii="CRO_Dutch" w:hAnsi="CRO_Dutch"/>
      <w:sz w:val="22"/>
    </w:rPr>
  </w:style>
  <w:style w:type="paragraph" w:styleId="Heading2">
    <w:name w:val="heading 2"/>
    <w:basedOn w:val="Normal"/>
    <w:next w:val="Normal"/>
    <w:qFormat w:val="1"/>
    <w:rsid w:val="005C7BB3"/>
    <w:pPr>
      <w:keepNext w:val="1"/>
      <w:outlineLvl w:val="1"/>
    </w:pPr>
    <w:rPr>
      <w:rFonts w:ascii="Times New Roman" w:hAnsi="Times New Roman"/>
      <w:i w:val="1"/>
      <w:snapToGrid w:val="0"/>
      <w:color w:val="000000"/>
      <w:sz w:val="20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5C7BB3"/>
    <w:pPr>
      <w:tabs>
        <w:tab w:val="center" w:pos="4153"/>
        <w:tab w:val="right" w:pos="8306"/>
      </w:tabs>
    </w:pPr>
    <w:rPr>
      <w:rFonts w:ascii="Verdana" w:hAnsi="Verdana"/>
      <w:sz w:val="20"/>
      <w:lang w:val="en-AU"/>
    </w:rPr>
  </w:style>
  <w:style w:type="paragraph" w:styleId="BodyText">
    <w:name w:val="Body Text"/>
    <w:basedOn w:val="Normal"/>
    <w:link w:val="BodyTextChar"/>
    <w:rsid w:val="005C7BB3"/>
    <w:pPr>
      <w:jc w:val="both"/>
    </w:pPr>
    <w:rPr>
      <w:rFonts w:ascii="Arial" w:hAnsi="Arial"/>
    </w:rPr>
  </w:style>
  <w:style w:type="paragraph" w:styleId="BalloonText">
    <w:name w:val="Balloon Text"/>
    <w:basedOn w:val="Normal"/>
    <w:semiHidden w:val="1"/>
    <w:rsid w:val="00814A3F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semiHidden w:val="1"/>
    <w:rsid w:val="00333675"/>
    <w:pPr>
      <w:shd w:color="auto" w:fill="000080" w:val="clear"/>
    </w:pPr>
    <w:rPr>
      <w:rFonts w:ascii="Tahoma" w:cs="Tahoma" w:hAnsi="Tahoma"/>
      <w:sz w:val="20"/>
    </w:rPr>
  </w:style>
  <w:style w:type="character" w:styleId="BodyTextChar" w:customStyle="1">
    <w:name w:val="Body Text Char"/>
    <w:link w:val="BodyText"/>
    <w:rsid w:val="00FE58F5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 w:val="1"/>
    <w:rsid w:val="00FE58F5"/>
    <w:pPr>
      <w:ind w:left="708"/>
    </w:pPr>
  </w:style>
  <w:style w:type="character" w:styleId="CommentReference">
    <w:name w:val="annotation reference"/>
    <w:semiHidden w:val="1"/>
    <w:rsid w:val="00505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057E3"/>
    <w:rPr>
      <w:sz w:val="20"/>
    </w:rPr>
  </w:style>
  <w:style w:type="paragraph" w:styleId="CommentSubject">
    <w:name w:val="annotation subject"/>
    <w:basedOn w:val="CommentText"/>
    <w:next w:val="CommentText"/>
    <w:semiHidden w:val="1"/>
    <w:rsid w:val="005057E3"/>
    <w:rPr>
      <w:b w:val="1"/>
      <w:bCs w:val="1"/>
    </w:rPr>
  </w:style>
  <w:style w:type="table" w:styleId="TableWeb3">
    <w:name w:val="Table Web 3"/>
    <w:basedOn w:val="TableNormal"/>
    <w:rsid w:val="004F029F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Revision">
    <w:name w:val="Revision"/>
    <w:hidden w:val="1"/>
    <w:uiPriority w:val="99"/>
    <w:semiHidden w:val="1"/>
    <w:rsid w:val="006062DF"/>
    <w:rPr>
      <w:rFonts w:ascii="CRO_Dutch" w:hAnsi="CRO_Dutch"/>
      <w:sz w:val="22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062DF"/>
    <w:rPr>
      <w:rFonts w:ascii="CRO_Dutch" w:hAnsi="CRO_Dutch"/>
    </w:rPr>
  </w:style>
  <w:style w:type="paragraph" w:styleId="Footer">
    <w:name w:val="footer"/>
    <w:basedOn w:val="Normal"/>
    <w:link w:val="FooterChar"/>
    <w:uiPriority w:val="99"/>
    <w:rsid w:val="00AD2A4E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D2A4E"/>
    <w:rPr>
      <w:rFonts w:ascii="CRO_Dutch" w:hAnsi="CRO_Dutch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AD2A4E"/>
    <w:rPr>
      <w:rFonts w:ascii="Verdana" w:hAnsi="Verdana"/>
      <w:lang w:val="en-AU"/>
    </w:rPr>
  </w:style>
  <w:style w:type="paragraph" w:styleId="NormalWeb">
    <w:name w:val="Normal (Web)"/>
    <w:basedOn w:val="Normal"/>
    <w:uiPriority w:val="99"/>
    <w:unhideWhenUsed w:val="1"/>
    <w:rsid w:val="00C63704"/>
    <w:pPr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7bVQtI1tZNBqKlWYwc8AfGgbFg==">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sAEAuAEBGMDQi+GmMiDA0IvhpjIwAEIIa2l4LmNtdDMi2AcKC0FBQUJpRkxMd3dzEq4HCgtBQUFCaUZMTHd3cxILQUFBQmlGTEx3d3Ma9wEKCXRleHQvaHRtbB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2024-09-18T08:05:00Z</dcterms:created>
  <dc:creator>HPB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0x010100F8C0D9CA1373D646B24BF3668B86B985</vt:lpwstr>
  </property>
</Properties>
</file>