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HRVATSKA POŠTANSKA BANKA,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dioničko društvo, Zagreb, Jurišićeva ulica 4, OIB 87939104217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Banka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), račun broj: HR4623900011070000029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Ivan Horvat, Ulica Kralja Tomislava 10, Zagreb, OIB: 12345678901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Korisnik kredita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Ivan Horvat, Ulica Kralja Tomislava 10, Zagreb, OIB: 12345678901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dužnik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Ivan Horvat, Ulica Kralja Tomislava 10, Zagreb, OIB: 12345678901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jamac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ys1s8uu0wwb8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Ivan Horvat, Ulica Kralja Tomislava 10, Zagreb, OIB: 12345678901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jamac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zastupana po ovlaštenoj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osobi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Ivan Horvat, Ulica Kralja Tomislava 10, Zagreb, OIB: 12345678901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dalje zajedno: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Ugovorne strane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zaključuju dana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24.02.2025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dvadeset i četvrti veljače dvije tisuće dvadeset i pete)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godine 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Zagreb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DODATAK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UGOVORU</w:t>
      </w:r>
    </w:p>
    <w:p w:rsidR="00000000" w:rsidDel="00000000" w:rsidP="00000000" w:rsidRDefault="00000000" w:rsidRPr="00000000" w14:paraId="00000015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o nenamjenskom kreditu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BROJ: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[9919479387]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[upisati broj kreditne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partije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Dodatak br.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>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UVOD</w:t>
      </w:r>
    </w:p>
    <w:p w:rsidR="00000000" w:rsidDel="00000000" w:rsidP="00000000" w:rsidRDefault="00000000" w:rsidRPr="00000000" w14:paraId="0000001E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Ugovorne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strane ovog Dodatka br.1 suglasno utvrđuju da je Nova hrvatska banka dioničko društvo sa sjedištem u Zagrebu, Varšavska ulica 9, OIB: 78427478595 (ranije: Sberbank d.d., Zagreb, Varšavska ulica 9, OIB 78427478595, ranije: VOLKSBANK d.d., Zagreb, Varšavska ulica 9, OIB 78427478595) (u daljnjem tekstu: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Pripojeno društvo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>), na temelju rješenja Trgovačkog suda u Zagrebu Tt-23/25802-2 od 3. srpnja 2023. godine pripojena Banci te su prava i obveze Pripojenog društva u skladu s odredbama Zakona o trgovačkim društvima prešla na Banku kao društvo preuzimatelja, temeljem čega Ugovorne strane ovog Dodatka br.1  pristupaju sklapanju istog.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1.</w:t>
      </w:r>
    </w:p>
    <w:p w:rsidR="00000000" w:rsidDel="00000000" w:rsidP="00000000" w:rsidRDefault="00000000" w:rsidRPr="00000000" w14:paraId="00000022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Ugovorne strane suglasno utvrđuju da su u istim svojstvima 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24.02.2025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 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dvadeset i četvrti veljače dvije tisuće dvadeset i pete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godine zaključile Ugovor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[upisati naziv ugovora – npr. o stambenom potrošačkom kreditu]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broj: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9919479387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(dalje: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temeljem kojeg je Banka Korisniku kredita stavila na raspolaganje kredit u iznosu 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5000,00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[VALUTA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odnosno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20000,00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dvadeset tisuća EUR (slovima)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po fiksnom tečaju konverzije (1,00 EUR = 7,53450 kn)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sukladno uvjetima iz Ugovora.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Ugovorne strane ovog Dodatka br.1 suglasno utvrđuju da je nakon uvođenja EUR-a kao službene valute u Republici Hrvatskoj, Ugovoru dodijeljen novi broj kredita koji sada glasi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9919479387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Nadalje, Ugovorne strane suglasno utvrđuju da je nakon pripajanja pravnog prednika Banke Banci, Ugovoru dodijeljen novi broj evidencije kredita koji sada glasi: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9919479387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2.</w:t>
      </w:r>
    </w:p>
    <w:p w:rsidR="00000000" w:rsidDel="00000000" w:rsidP="00000000" w:rsidRDefault="00000000" w:rsidRPr="00000000" w14:paraId="0000002C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>Nadalje, Ugovorne strane ovog Dodatka br.1 suglasno utvrđuju da uslijed uplate na ime obveze utvrđene u članku 1. ovog Dodatka br.1, u iznosu od [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XX.XXX,XX]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u korist smanjenja nedospjele glavnice kredita ista sada iznosi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5000,00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 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Mjesečni anuitet na preostali iznos nedospjele glavnice iznosi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5000,00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te se mijenja datum dospijeća zadnjeg anuiteta sukladno planu otplate kredita.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 Mjesečni anuitet na preostali iznos nedospjele glavnice iznosi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5000,00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200.00 EUR (slovima)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blubqurch04h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3)  Banka će Korisniku kredita te ostalim sudionicima kreditnog posla iz ovog Dodatka br.1 uručiti novi otplatni plan, a Korisnik kredita se obvezuje daljnja plaćanja po kreditu obavljati sukladno uručenom otplatnom planu.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268"/>
          <w:tab w:val="left" w:leader="none" w:pos="3402"/>
        </w:tabs>
        <w:spacing w:line="240" w:lineRule="auto"/>
        <w:ind w:left="3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4)  Primitak otplatnog plana Korisnik kredita i ostali sudionici kreditnog posla iz ovog Dodatka  br.1potvrđuju potpisom ovog Dodatka br.1. </w:t>
      </w:r>
    </w:p>
    <w:p w:rsidR="00000000" w:rsidDel="00000000" w:rsidP="00000000" w:rsidRDefault="00000000" w:rsidRPr="00000000" w14:paraId="00000034">
      <w:pPr>
        <w:tabs>
          <w:tab w:val="left" w:leader="none" w:pos="2268"/>
          <w:tab w:val="left" w:leader="none" w:pos="3402"/>
          <w:tab w:val="left" w:leader="none" w:pos="3720"/>
          <w:tab w:val="center" w:leader="none" w:pos="4394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268"/>
          <w:tab w:val="left" w:leader="none" w:pos="3402"/>
          <w:tab w:val="left" w:leader="none" w:pos="3720"/>
          <w:tab w:val="center" w:leader="none" w:pos="4394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3.</w:t>
      </w:r>
    </w:p>
    <w:p w:rsidR="00000000" w:rsidDel="00000000" w:rsidP="00000000" w:rsidRDefault="00000000" w:rsidRPr="00000000" w14:paraId="00000036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>Ugovorne strane suglasno utvrđuju da ostale odredbe Ugovora koje nisu mijenjane ovim Dodatkom br.1 ostaju i dalje na snazi te se i dalje primjenjuju do otplate kredita u cijelosti.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4.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Ovaj Dodatak br.1 je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sačinjen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tri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istovjetna primjerka od kojih su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dva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primjerka za Banku, 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 (slovima: jedan) primjerak za Korisnika kredita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67"/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67"/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KORISNIK KREDITA</w:t>
        <w:tab/>
        <w:tab/>
        <w:tab/>
        <w:tab/>
        <w:tab/>
        <w:tab/>
        <w:tab/>
        <w:tab/>
        <w:t xml:space="preserve">ZA BANKU:</w:t>
      </w:r>
    </w:p>
    <w:p w:rsidR="00000000" w:rsidDel="00000000" w:rsidP="00000000" w:rsidRDefault="00000000" w:rsidRPr="00000000" w14:paraId="00000040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>1111Ivan Horvat, Ulica Kralja Tomislava 10, Zagreb, OIB: 12345678901</w:t>
        <w:tab/>
        <w:tab/>
        <w:tab/>
        <w:tab/>
        <w:tab/>
        <w:tab/>
        <w:tab/>
        <w:tab/>
        <w:t>1111Ivan Horvat, Ulica Kralja Tomislava 10, Zagreb, OIB: 12345678901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SOLIDARNI DUŽNIK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>1111Ivan Horvat, Ulica Kralja Tomislava 10, Zagreb, OIB: 12345678901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SOLIDARNI JAMAC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>1111Ivan Horvat, Ulica Kralja Tomislava 10, Zagreb, OIB: 12345678901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417" w:top="1417" w:left="1417" w:right="1417" w:header="17" w:footer="27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sipa Ljubičić" w:id="5" w:date="2024-08-27T15:13:00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HPB kredite: Ako je zbog konverzije u EUR došlo do promjene broja partije, ovdje se upisuje stari broj kreditne partije (u kunama).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NHB kredite: broj partije se eurokonverzijom nije mijenjao, no svakako se na navedeno mjesto upisuje ugovoreni broj kredita (inicijalni) iz NHB Ugovora. Dok se u točki 3. istog članka upisuje novi broj evidencije nastao migracijom u HPB.</w:t>
      </w:r>
    </w:p>
  </w:comment>
  <w:comment w:author="Tomić Nikola" w:id="11" w:date="2024-04-11T14:40:0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se NE mijenja rok otplate, u suprotnom brisati, a ostaviti gornju stavku.</w:t>
      </w:r>
    </w:p>
  </w:comment>
  <w:comment w:author="Huzek Natali" w:id="13" w:date="2023-03-01T11:10:00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je upisati ostale sudionike ukoliko postoje.</w:t>
      </w:r>
    </w:p>
  </w:comment>
  <w:comment w:author="Tomić Nikola" w:id="0" w:date="2024-04-10T10:47:0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je pravna osoba jamac po kreditu, ako nema jamca pravne osobe onda se briše.</w:t>
      </w:r>
    </w:p>
  </w:comment>
  <w:comment w:author="Tomić Nikola" w:id="12" w:date="2024-04-11T14:37:0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Broj primjeraka ovisi o ukupnom broju sudionika + 2 za Banku</w:t>
      </w:r>
    </w:p>
  </w:comment>
  <w:comment w:author="Josipa Ljubičić" w:id="3" w:date="2024-10-08T12:38:0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prilagoditi i navesti broj Dodatka, uzimajući u obzir eventualno od ranije sklopljene Dodatke.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Navedeno je potrebno unijeti u svim djelovima Dodatka, na svim mjestima na kojima se navodi termin "Dodatak br.__")</w:t>
      </w:r>
    </w:p>
  </w:comment>
  <w:comment w:author="Josipa Ljubičić" w:id="1" w:date="2024-10-08T12:38:0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prilagoditi i navesti broj Dodatka, uzimajući u obzir eventualno od ranije sklopljene Dodatke.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Navedeno je potrebno unijeti u svim djelovima Dodatka, na svim mjestima na kojima se navodi termin "Dodatak br.__")</w:t>
      </w:r>
    </w:p>
  </w:comment>
  <w:comment w:author="Josipa Ljubičić" w:id="9" w:date="2024-08-27T14:33:0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Upisati broj nove partije dodijeljen nakon migracije.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Upisuje se samo kod ex NHB kredita.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se radi o HPB kreditu-cijela točka se BRIŠE</w:t>
      </w:r>
    </w:p>
  </w:comment>
  <w:comment w:author="Josipa Ljubičić" w:id="2" w:date="2024-08-27T15:13:0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HPB kredite: Ako je zbog konverzije u EUR došlo do promjene broja partije, ovdje se upisuje stari broj kreditne partije (u kunama).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NHB kredite: broj partije se eurokonverzijom nije mijenjao, no svakako se na navedeno mjesto upisuje ugovoreni broj kredita (inicijalni) iz NHB Ugovora. Dok se u točki 3. istog članka upisuje novi broj evidencije nastao migracijom u HPB.</w:t>
      </w:r>
    </w:p>
  </w:comment>
  <w:comment w:author="Tomić Nikola" w:id="10" w:date="2024-04-11T14:40:0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se mijenja rok otplate, u suprotnom brisati, a ostaviti donju stavku.</w:t>
      </w:r>
    </w:p>
  </w:comment>
  <w:comment w:author="Petar Uroda" w:id="4" w:date="2024-07-29T09:10:0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ako je riječ o ex NHB kreditu u suprotno cijeli odjeljak se briše.</w:t>
      </w:r>
    </w:p>
  </w:comment>
  <w:comment w:author="Huzek Natali" w:id="6" w:date="2023-01-25T12:17:0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Upisuje se iznos u valuti u kojoj je bio odobren kredit.</w:t>
      </w:r>
    </w:p>
  </w:comment>
  <w:comment w:author="Huzek Natali" w:id="7" w:date="2023-01-25T12:19:00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ako je kredit bio odobren u HRK te je konvertiran u EUR.</w:t>
      </w:r>
    </w:p>
  </w:comment>
  <w:comment w:author="Josipa Ljubičić" w:id="8" w:date="2024-08-27T15:15:0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za HPB - kredite inicijalno odobrene (ugovorene) u HRK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Ukoliko se radi o exNHB kreditu (neovisno o valuti), navedena točka  se BRIŠE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F" w15:done="0"/>
  <w15:commentEx w15:paraId="00000060" w15:done="0"/>
  <w15:commentEx w15:paraId="00000061" w15:done="0"/>
  <w15:commentEx w15:paraId="00000062" w15:done="0"/>
  <w15:commentEx w15:paraId="00000063" w15:done="0"/>
  <w15:commentEx w15:paraId="00000065" w15:done="0"/>
  <w15:commentEx w15:paraId="00000067" w15:done="0"/>
  <w15:commentEx w15:paraId="0000006B" w15:done="0"/>
  <w15:commentEx w15:paraId="0000006E" w15:done="0"/>
  <w15:commentEx w15:paraId="0000006F" w15:done="0"/>
  <w15:commentEx w15:paraId="00000070" w15:done="0"/>
  <w15:commentEx w15:paraId="00000071" w15:done="0"/>
  <w15:commentEx w15:paraId="00000072" w15:done="0"/>
  <w15:commentEx w15:paraId="0000007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d"/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od" w:cs="Rod" w:eastAsia="Rod" w:hAnsi="Ro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Stranica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od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od" w:cs="Rod" w:eastAsia="Rod" w:hAnsi="Ro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918210</wp:posOffset>
          </wp:positionH>
          <wp:positionV relativeFrom="page">
            <wp:posOffset>540385</wp:posOffset>
          </wp:positionV>
          <wp:extent cx="1349375" cy="449580"/>
          <wp:effectExtent b="0" l="0" r="0" t="0"/>
          <wp:wrapNone/>
          <wp:docPr descr="hpb%20logo" id="2" name="image1.jpg"/>
          <a:graphic>
            <a:graphicData uri="http://schemas.openxmlformats.org/drawingml/2006/picture">
              <pic:pic>
                <pic:nvPicPr>
                  <pic:cNvPr descr="hpb%20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9375" cy="449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ff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ff0000"/>
        <w:sz w:val="15"/>
        <w:szCs w:val="15"/>
        <w:u w:val="none"/>
        <w:shd w:fill="auto" w:val="clear"/>
        <w:vertAlign w:val="baseline"/>
        <w:rtl w:val="0"/>
      </w:rPr>
      <w:t xml:space="preserve">HRVATSKA POŠTANSKA BANKA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d" w:cs="Rod" w:eastAsia="Rod" w:hAnsi="Rod"/>
        <w:sz w:val="22"/>
        <w:szCs w:val="22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7BB3"/>
    <w:rPr>
      <w:rFonts w:ascii="CRO_Dutch" w:hAnsi="CRO_Dutch"/>
      <w:sz w:val="22"/>
    </w:rPr>
  </w:style>
  <w:style w:type="paragraph" w:styleId="Heading2">
    <w:name w:val="heading 2"/>
    <w:basedOn w:val="Normal"/>
    <w:next w:val="Normal"/>
    <w:qFormat w:val="1"/>
    <w:rsid w:val="005C7BB3"/>
    <w:pPr>
      <w:keepNext w:val="1"/>
      <w:outlineLvl w:val="1"/>
    </w:pPr>
    <w:rPr>
      <w:rFonts w:ascii="Times New Roman" w:hAnsi="Times New Roman"/>
      <w:i w:val="1"/>
      <w:snapToGrid w:val="0"/>
      <w:color w:val="000000"/>
      <w:sz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5C7BB3"/>
    <w:pPr>
      <w:tabs>
        <w:tab w:val="center" w:pos="4153"/>
        <w:tab w:val="right" w:pos="8306"/>
      </w:tabs>
    </w:pPr>
    <w:rPr>
      <w:rFonts w:ascii="Verdana" w:hAnsi="Verdana"/>
      <w:sz w:val="20"/>
      <w:lang w:val="en-AU"/>
    </w:rPr>
  </w:style>
  <w:style w:type="paragraph" w:styleId="BodyText">
    <w:name w:val="Body Text"/>
    <w:basedOn w:val="Normal"/>
    <w:link w:val="BodyTextChar"/>
    <w:rsid w:val="005C7BB3"/>
    <w:pPr>
      <w:jc w:val="both"/>
    </w:pPr>
    <w:rPr>
      <w:rFonts w:ascii="Arial" w:hAnsi="Arial"/>
    </w:rPr>
  </w:style>
  <w:style w:type="paragraph" w:styleId="BalloonText">
    <w:name w:val="Balloon Text"/>
    <w:basedOn w:val="Normal"/>
    <w:semiHidden w:val="1"/>
    <w:rsid w:val="00814A3F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semiHidden w:val="1"/>
    <w:rsid w:val="00333675"/>
    <w:pPr>
      <w:shd w:color="auto" w:fill="000080" w:val="clear"/>
    </w:pPr>
    <w:rPr>
      <w:rFonts w:ascii="Tahoma" w:cs="Tahoma" w:hAnsi="Tahoma"/>
      <w:sz w:val="20"/>
    </w:rPr>
  </w:style>
  <w:style w:type="character" w:styleId="BodyTextChar" w:customStyle="1">
    <w:name w:val="Body Text Char"/>
    <w:link w:val="BodyText"/>
    <w:rsid w:val="00FE58F5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FE58F5"/>
    <w:pPr>
      <w:ind w:left="708"/>
    </w:pPr>
  </w:style>
  <w:style w:type="character" w:styleId="CommentReference">
    <w:name w:val="annotation reference"/>
    <w:semiHidden w:val="1"/>
    <w:rsid w:val="00505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057E3"/>
    <w:rPr>
      <w:sz w:val="20"/>
    </w:rPr>
  </w:style>
  <w:style w:type="paragraph" w:styleId="CommentSubject">
    <w:name w:val="annotation subject"/>
    <w:basedOn w:val="CommentText"/>
    <w:next w:val="CommentText"/>
    <w:semiHidden w:val="1"/>
    <w:rsid w:val="005057E3"/>
    <w:rPr>
      <w:b w:val="1"/>
      <w:bCs w:val="1"/>
    </w:rPr>
  </w:style>
  <w:style w:type="table" w:styleId="TableWeb3">
    <w:name w:val="Table Web 3"/>
    <w:basedOn w:val="TableNormal"/>
    <w:rsid w:val="004F029F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Revision">
    <w:name w:val="Revision"/>
    <w:hidden w:val="1"/>
    <w:uiPriority w:val="99"/>
    <w:semiHidden w:val="1"/>
    <w:rsid w:val="006062DF"/>
    <w:rPr>
      <w:rFonts w:ascii="CRO_Dutch" w:hAnsi="CRO_Dutch"/>
      <w:sz w:val="22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062DF"/>
    <w:rPr>
      <w:rFonts w:ascii="CRO_Dutch" w:hAnsi="CRO_Dutch"/>
    </w:rPr>
  </w:style>
  <w:style w:type="paragraph" w:styleId="Footer">
    <w:name w:val="footer"/>
    <w:basedOn w:val="Normal"/>
    <w:link w:val="FooterChar"/>
    <w:uiPriority w:val="99"/>
    <w:rsid w:val="00AD2A4E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D2A4E"/>
    <w:rPr>
      <w:rFonts w:ascii="CRO_Dutch" w:hAnsi="CRO_Dutch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AD2A4E"/>
    <w:rPr>
      <w:rFonts w:ascii="Verdana" w:hAnsi="Verdana"/>
      <w:lang w:val="en-AU"/>
    </w:rPr>
  </w:style>
  <w:style w:type="paragraph" w:styleId="NormalWeb">
    <w:name w:val="Normal (Web)"/>
    <w:basedOn w:val="Normal"/>
    <w:uiPriority w:val="99"/>
    <w:unhideWhenUsed w:val="1"/>
    <w:rsid w:val="00C63704"/>
    <w:pP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7bVQtI1tZNBqKlWYwc8AfGgbFg==">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sAEAuAEBGMDQi+GmMiDA0IvhpjIwAEIIa2l4LmNtdDMi2AcKC0FBQUJpRkxMd3dzEq4HCgtBQUFCaUZMTHd3cxILQUFBQmlGTEx3d3Ma9wEKCXRleHQvaHRtbB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2024-09-18T08:05:00Z</dcterms:created>
  <dc:creator>HPB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0x010100F8C0D9CA1373D646B24BF3668B86B985</vt:lpwstr>
  </property>
</Properties>
</file>