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1F497D"/>
          <w:sz w:val="44"/>
        </w:rPr>
        <w:t>Proposal: Proton Integration with Playwright Framework</w:t>
      </w:r>
    </w:p>
    <w:p>
      <w:r>
        <w:t>Prepared by: Altimetrik</w:t>
      </w:r>
    </w:p>
    <w:p>
      <w:r>
        <w:t>Date: June 11, 2026</w:t>
      </w:r>
    </w:p>
    <w:p>
      <w:r>
        <w:t>Version: 1.0</w:t>
      </w:r>
    </w:p>
    <w:p>
      <w:pPr>
        <w:pStyle w:val="Heading2"/>
      </w:pPr>
      <w:r>
        <w:rPr>
          <w:b/>
          <w:color w:val="2E74B5"/>
          <w:sz w:val="32"/>
        </w:rPr>
        <w:t>Table of Contents</w:t>
      </w:r>
    </w:p>
    <w:p>
      <w:r>
        <w:t>1. [Framework Background](#1-framework-background)</w:t>
      </w:r>
    </w:p>
    <w:p>
      <w:r>
        <w:t>2. [Project Scope](#2-project-scope)</w:t>
      </w:r>
    </w:p>
    <w:p>
      <w:r>
        <w:t>3. [Architecture](#3-architecture)</w:t>
      </w:r>
    </w:p>
    <w:p>
      <w:r>
        <w:t>4. [Effort Estimate](#4-effort-estimate)</w:t>
      </w:r>
    </w:p>
    <w:p>
      <w:r>
        <w:t>5. [Project Timeline](#5-project-timeline)</w:t>
      </w:r>
    </w:p>
    <w:p>
      <w:r>
        <w:t>6. [Team Structure](#6-team-structure)</w:t>
      </w:r>
    </w:p>
    <w:p>
      <w:r>
        <w:t>7. [Commercials](#7-commercials)</w:t>
      </w:r>
    </w:p>
    <w:p>
      <w:r>
        <w:t>8. [Assumptions and Dependencies](#8-assumptions-and-dependencies)</w:t>
      </w:r>
    </w:p>
    <w:p>
      <w:pPr>
        <w:pStyle w:val="Heading2"/>
      </w:pPr>
      <w:r>
        <w:rPr>
          <w:b/>
          <w:color w:val="2E74B5"/>
          <w:sz w:val="32"/>
        </w:rPr>
        <w:t>1. Framework Background</w:t>
      </w:r>
    </w:p>
    <w:p>
      <w:pPr>
        <w:pStyle w:val="Heading3"/>
      </w:pPr>
      <w:r>
        <w:rPr>
          <w:b/>
          <w:color w:val="1F497D"/>
          <w:sz w:val="26"/>
        </w:rPr>
        <w:t>Playwright Test Automation Framework</w:t>
      </w:r>
    </w:p>
    <w:p>
      <w:r>
        <w:t>Playwright is a modern, open-source end-to-end test automation framework developed by Microsoft. It supports multiple browsers (Chromium, Firefox, WebKit) and provides robust tooling for UI and API testing. The existing framework has been designed and implemented to support automated regression and functional testing with the following characteristics:</w:t>
      </w:r>
    </w:p>
    <w:p>
      <w:pPr>
        <w:pStyle w:val="ListBullet"/>
      </w:pPr>
      <w:r>
        <w:t>Test Execution: Automated test suites executed via CI/CD pipelines</w:t>
      </w:r>
    </w:p>
    <w:p>
      <w:pPr>
        <w:pStyle w:val="ListBullet"/>
      </w:pPr>
      <w:r>
        <w:t>Reporting: JSON-based results (results.json) and PDF report generation</w:t>
      </w:r>
    </w:p>
    <w:p>
      <w:pPr>
        <w:pStyle w:val="ListBullet"/>
      </w:pPr>
      <w:r>
        <w:t>Test Management Integration: Currently integrated with Xray (Jira-native test management), including pre-execution approval checks via API</w:t>
      </w:r>
    </w:p>
    <w:p>
      <w:pPr>
        <w:pStyle w:val="ListBullet"/>
      </w:pPr>
      <w:r>
        <w:t>Result Submission: Automated test result upload to the test management platform post-execution</w:t>
      </w:r>
    </w:p>
    <w:p>
      <w:pPr>
        <w:pStyle w:val="Heading3"/>
      </w:pPr>
      <w:r>
        <w:rPr>
          <w:b/>
          <w:color w:val="1F497D"/>
          <w:sz w:val="26"/>
        </w:rPr>
        <w:t>Proton Test Management Platform</w:t>
      </w:r>
    </w:p>
    <w:p>
      <w:r>
        <w:t>Proton is the target test management platform to which the Playwright framework will be integrated. The integration will mirror the existing Xray integration pattern, leveraging Proton's REST API to:</w:t>
      </w:r>
    </w:p>
    <w:p>
      <w:pPr>
        <w:pStyle w:val="ListBullet"/>
      </w:pPr>
      <w:r>
        <w:t>Create and manage test runs</w:t>
      </w:r>
    </w:p>
    <w:p>
      <w:pPr>
        <w:pStyle w:val="ListBullet"/>
      </w:pPr>
      <w:r>
        <w:t>Submit test execution results</w:t>
      </w:r>
    </w:p>
    <w:p>
      <w:pPr>
        <w:pStyle w:val="ListBullet"/>
      </w:pPr>
      <w:r>
        <w:t>Upload file attachments (PDF reports)</w:t>
      </w:r>
    </w:p>
    <w:p>
      <w:pPr>
        <w:pStyle w:val="ListBullet"/>
      </w:pPr>
      <w:r>
        <w:t>Validate test case approval status prior to execution</w:t>
      </w:r>
    </w:p>
    <w:p>
      <w:r>
        <w:t>This integration enables seamless traceability between automated test execution and Proton's test management workflows, replacing or supplementing the current Xray integration.</w:t>
      </w:r>
    </w:p>
    <w:p>
      <w:pPr>
        <w:pStyle w:val="Heading2"/>
      </w:pPr>
      <w:r>
        <w:rPr>
          <w:b/>
          <w:color w:val="2E74B5"/>
          <w:sz w:val="32"/>
        </w:rPr>
        <w:t>2. Project Scope</w:t>
      </w:r>
    </w:p>
    <w:p>
      <w:pPr>
        <w:pStyle w:val="Heading3"/>
      </w:pPr>
      <w:r>
        <w:rPr>
          <w:b/>
          <w:color w:val="1F497D"/>
          <w:sz w:val="26"/>
        </w:rPr>
        <w:t>In Scope</w:t>
      </w:r>
    </w:p>
    <w:p>
      <w:r>
        <w:t>The following activities are included in this engagement:</w:t>
      </w:r>
    </w:p>
    <w:tbl>
      <w:tblPr>
        <w:tblStyle w:val="TableGrid"/>
        <w:tblW w:type="auto" w:w="0"/>
        <w:tblLook w:firstColumn="1" w:firstRow="1" w:lastColumn="0" w:lastRow="0" w:noHBand="0" w:noVBand="1" w:val="04A0"/>
      </w:tblPr>
      <w:tblGrid>
        <w:gridCol w:w="2928"/>
        <w:gridCol w:w="2928"/>
        <w:gridCol w:w="2928"/>
      </w:tblGrid>
      <w:tr>
        <w:tc>
          <w:tcPr>
            <w:tcW w:type="dxa" w:w="2928"/>
            <w:shd w:fill="2E74B5" w:color="auto" w:val="clear"/>
          </w:tcPr>
          <w:p>
            <w:r>
              <w:rPr>
                <w:b/>
                <w:color w:val="FFFFFF"/>
              </w:rPr>
              <w:t>#</w:t>
            </w:r>
          </w:p>
        </w:tc>
        <w:tc>
          <w:tcPr>
            <w:tcW w:type="dxa" w:w="2928"/>
            <w:shd w:fill="2E74B5" w:color="auto" w:val="clear"/>
          </w:tcPr>
          <w:p>
            <w:r>
              <w:rPr>
                <w:b/>
                <w:color w:val="FFFFFF"/>
              </w:rPr>
              <w:t>Activity</w:t>
            </w:r>
          </w:p>
        </w:tc>
        <w:tc>
          <w:tcPr>
            <w:tcW w:type="dxa" w:w="2928"/>
            <w:shd w:fill="2E74B5" w:color="auto" w:val="clear"/>
          </w:tcPr>
          <w:p>
            <w:r>
              <w:rPr>
                <w:b/>
                <w:color w:val="FFFFFF"/>
              </w:rPr>
              <w:t>Description</w:t>
            </w:r>
          </w:p>
        </w:tc>
      </w:tr>
      <w:tr>
        <w:tc>
          <w:tcPr>
            <w:tcW w:type="dxa" w:w="2928"/>
          </w:tcPr>
          <w:p>
            <w:r>
              <w:t>1</w:t>
            </w:r>
          </w:p>
        </w:tc>
        <w:tc>
          <w:tcPr>
            <w:tcW w:type="dxa" w:w="2928"/>
          </w:tcPr>
          <w:p>
            <w:r>
              <w:t>API Discovery &amp; Analysis</w:t>
            </w:r>
          </w:p>
        </w:tc>
        <w:tc>
          <w:tcPr>
            <w:tcW w:type="dxa" w:w="2928"/>
          </w:tcPr>
          <w:p>
            <w:r>
              <w:t>Analyse Proton's REST API documentation, endpoints, authentication mechanism, and data models relevant to test run creation, result submission, and attachment upload</w:t>
            </w:r>
          </w:p>
        </w:tc>
      </w:tr>
      <w:tr>
        <w:tc>
          <w:tcPr>
            <w:tcW w:type="dxa" w:w="2928"/>
          </w:tcPr>
          <w:p>
            <w:r>
              <w:t>2</w:t>
            </w:r>
          </w:p>
        </w:tc>
        <w:tc>
          <w:tcPr>
            <w:tcW w:type="dxa" w:w="2928"/>
          </w:tcPr>
          <w:p>
            <w:r>
              <w:t>Framework Design</w:t>
            </w:r>
          </w:p>
        </w:tc>
        <w:tc>
          <w:tcPr>
            <w:tcW w:type="dxa" w:w="2928"/>
          </w:tcPr>
          <w:p>
            <w:r>
              <w:t>Design the integration layer within the existing Playwright framework to support Proton as a test management target</w:t>
            </w:r>
          </w:p>
        </w:tc>
      </w:tr>
      <w:tr>
        <w:tc>
          <w:tcPr>
            <w:tcW w:type="dxa" w:w="2928"/>
          </w:tcPr>
          <w:p>
            <w:r>
              <w:t>3</w:t>
            </w:r>
          </w:p>
        </w:tc>
        <w:tc>
          <w:tcPr>
            <w:tcW w:type="dxa" w:w="2928"/>
          </w:tcPr>
          <w:p>
            <w:r>
              <w:t>Development</w:t>
            </w:r>
          </w:p>
        </w:tc>
        <w:tc>
          <w:tcPr>
            <w:tcW w:type="dxa" w:w="2928"/>
          </w:tcPr>
          <w:p>
            <w:r>
              <w:t>Implement the Proton integration module, including: test run creation, result mapping (Jira/Proton IDs), approval status validation, result submission, and PDF attachment upload</w:t>
            </w:r>
          </w:p>
        </w:tc>
      </w:tr>
      <w:tr>
        <w:tc>
          <w:tcPr>
            <w:tcW w:type="dxa" w:w="2928"/>
          </w:tcPr>
          <w:p>
            <w:r>
              <w:t>4</w:t>
            </w:r>
          </w:p>
        </w:tc>
        <w:tc>
          <w:tcPr>
            <w:tcW w:type="dxa" w:w="2928"/>
          </w:tcPr>
          <w:p>
            <w:r>
              <w:t>CI/CD Pipeline Update</w:t>
            </w:r>
          </w:p>
        </w:tc>
        <w:tc>
          <w:tcPr>
            <w:tcW w:type="dxa" w:w="2928"/>
          </w:tcPr>
          <w:p>
            <w:r>
              <w:t>Update existing pipeline configuration to support the Proton integration flow (approval check → execution → result upload)</w:t>
            </w:r>
          </w:p>
        </w:tc>
      </w:tr>
      <w:tr>
        <w:tc>
          <w:tcPr>
            <w:tcW w:type="dxa" w:w="2928"/>
          </w:tcPr>
          <w:p>
            <w:r>
              <w:t>5</w:t>
            </w:r>
          </w:p>
        </w:tc>
        <w:tc>
          <w:tcPr>
            <w:tcW w:type="dxa" w:w="2928"/>
          </w:tcPr>
          <w:p>
            <w:r>
              <w:t>Testing &amp; Validation</w:t>
            </w:r>
          </w:p>
        </w:tc>
        <w:tc>
          <w:tcPr>
            <w:tcW w:type="dxa" w:w="2928"/>
          </w:tcPr>
          <w:p>
            <w:r>
              <w:t>End-to-end validation of the integration against a Proton sandbox environment, covering positive, negative, and edge-case scenarios</w:t>
            </w:r>
          </w:p>
        </w:tc>
      </w:tr>
      <w:tr>
        <w:tc>
          <w:tcPr>
            <w:tcW w:type="dxa" w:w="2928"/>
          </w:tcPr>
          <w:p>
            <w:r>
              <w:t>6</w:t>
            </w:r>
          </w:p>
        </w:tc>
        <w:tc>
          <w:tcPr>
            <w:tcW w:type="dxa" w:w="2928"/>
          </w:tcPr>
          <w:p>
            <w:r>
              <w:t>UAT Support &amp; Rework</w:t>
            </w:r>
          </w:p>
        </w:tc>
        <w:tc>
          <w:tcPr>
            <w:tcW w:type="dxa" w:w="2928"/>
          </w:tcPr>
          <w:p>
            <w:r>
              <w:t>Support Proton stakeholders during UAT, address feedback, and deliver a final production-ready integration</w:t>
            </w:r>
          </w:p>
        </w:tc>
      </w:tr>
    </w:tbl>
    <w:p/>
    <w:p>
      <w:pPr>
        <w:pStyle w:val="Heading3"/>
      </w:pPr>
      <w:r>
        <w:rPr>
          <w:b/>
          <w:color w:val="1F497D"/>
          <w:sz w:val="26"/>
        </w:rPr>
        <w:t>Out of Scope</w:t>
      </w:r>
    </w:p>
    <w:p>
      <w:pPr>
        <w:pStyle w:val="ListBullet"/>
      </w:pPr>
      <w:r>
        <w:t>Modifications to Proton platform itself</w:t>
      </w:r>
    </w:p>
    <w:p>
      <w:pPr>
        <w:pStyle w:val="ListBullet"/>
      </w:pPr>
      <w:r>
        <w:t>Creation or management of Proton test cases</w:t>
      </w:r>
    </w:p>
    <w:p>
      <w:pPr>
        <w:pStyle w:val="ListBullet"/>
      </w:pPr>
      <w:r>
        <w:t>Changes to existing Playwright test scripts beyond integration wiring</w:t>
      </w:r>
    </w:p>
    <w:p>
      <w:pPr>
        <w:pStyle w:val="ListBullet"/>
      </w:pPr>
      <w:r>
        <w:t>Infrastructure provisioning for CI/CD pipelines</w:t>
      </w:r>
    </w:p>
    <w:p>
      <w:pPr>
        <w:pStyle w:val="ListBullet"/>
      </w:pPr>
      <w:r>
        <w:t>Migration of historical test results into Proton</w:t>
      </w:r>
    </w:p>
    <w:p>
      <w:pPr>
        <w:pStyle w:val="Heading2"/>
      </w:pPr>
      <w:r>
        <w:rPr>
          <w:b/>
          <w:color w:val="2E74B5"/>
          <w:sz w:val="32"/>
        </w:rPr>
        <w:t>3. Architecture</w:t>
      </w:r>
    </w:p>
    <w:p>
      <w:pPr>
        <w:pStyle w:val="Heading3"/>
      </w:pPr>
      <w:r>
        <w:rPr>
          <w:b/>
          <w:color w:val="1F497D"/>
          <w:sz w:val="26"/>
        </w:rPr>
        <w:t>High-Level Integration Architecture</w:t>
      </w:r>
    </w:p>
    <w:p>
      <w:pPr>
        <w:ind w:left="576"/>
      </w:pPr>
      <w:r>
        <w:rPr>
          <w:rFonts w:ascii="Courier New" w:hAnsi="Courier New"/>
          <w:color w:val="202020"/>
          <w:sz w:val="16"/>
        </w:rPr>
        <w:t>┌─────────────────────────────────────────────────────────────┐</w:t>
        <w:br/>
        <w:t>│                        CI/CD Pipeline                        │</w:t>
        <w:br/>
        <w:t>│                                                             │</w:t>
        <w:br/>
        <w:t>│  ┌──────────────┐    ┌─────────────────┐    ┌───────────┐  │</w:t>
        <w:br/>
        <w:t>│  │  Trigger /   │───▶│  Approval Check │───▶│  Execute  │  │</w:t>
        <w:br/>
        <w:t>│  │  Schedule    │    │  (Proton API)   │    │  Tests    │  │</w:t>
        <w:br/>
        <w:t>│  └──────────────┘    └─────────────────┘    └─────┬─────┘  │</w:t>
        <w:br/>
        <w:t>│                                                   │         │</w:t>
        <w:br/>
        <w:t>│                                         ┌─────────▼──────┐  │</w:t>
        <w:br/>
        <w:t>│                                         │  Generate       │  │</w:t>
        <w:br/>
        <w:t>│                                         │  results.json  │  │</w:t>
        <w:br/>
        <w:t>│                                         │  + PDF Report  │  │</w:t>
        <w:br/>
        <w:t>│                                         └─────────┬──────┘  │</w:t>
        <w:br/>
        <w:t>│                                                   │         │</w:t>
        <w:br/>
        <w:t>│                                         ┌─────────▼──────┐  │</w:t>
        <w:br/>
        <w:t>│                                         │  Proton         │  │</w:t>
        <w:br/>
        <w:t>│                                         │  Integration    │  │</w:t>
        <w:br/>
        <w:t>│                                         │  Module         │  │</w:t>
        <w:br/>
        <w:t>│                                         └─────────┬──────┘  │</w:t>
        <w:br/>
        <w:t>└───────────────────────────────────────────────────┼─────────┘</w:t>
        <w:br/>
        <w:t xml:space="preserve">                                                    │</w:t>
        <w:br/>
        <w:t xml:space="preserve">                              ┌─────────────────────▼──────────────┐</w:t>
        <w:br/>
        <w:t xml:space="preserve">                              │         Proton REST API             │</w:t>
        <w:br/>
        <w:t xml:space="preserve">                              │  ┌──────────────────────────────┐  │</w:t>
        <w:br/>
        <w:t xml:space="preserve">                              │  │ POST /test-runs               │  │</w:t>
        <w:br/>
        <w:t xml:space="preserve">                              │  │ POST /test-runs/{id}/results  │  │</w:t>
        <w:br/>
        <w:t xml:space="preserve">                              │  │ POST /test-runs/{id}/attach   │  │</w:t>
        <w:br/>
        <w:t xml:space="preserve">                              │  │ GET  /test-cases/{id}/status  │  │</w:t>
        <w:br/>
        <w:t xml:space="preserve">                              │  └──────────────────────────────┘  │</w:t>
        <w:br/>
        <w:t xml:space="preserve">                              └────────────────────────────────────┘</w:t>
      </w:r>
    </w:p>
    <w:p>
      <w:pPr>
        <w:pStyle w:val="Heading3"/>
      </w:pPr>
      <w:r>
        <w:rPr>
          <w:b/>
          <w:color w:val="1F497D"/>
          <w:sz w:val="26"/>
        </w:rPr>
        <w:t>Integration Module Components</w:t>
      </w:r>
    </w:p>
    <w:tbl>
      <w:tblPr>
        <w:tblStyle w:val="TableGrid"/>
        <w:tblW w:type="auto" w:w="0"/>
        <w:tblLook w:firstColumn="1" w:firstRow="1" w:lastColumn="0" w:lastRow="0" w:noHBand="0" w:noVBand="1" w:val="04A0"/>
      </w:tblPr>
      <w:tblGrid>
        <w:gridCol w:w="4392"/>
        <w:gridCol w:w="4392"/>
      </w:tblGrid>
      <w:tr>
        <w:tc>
          <w:tcPr>
            <w:tcW w:type="dxa" w:w="4392"/>
            <w:shd w:fill="2E74B5" w:color="auto" w:val="clear"/>
          </w:tcPr>
          <w:p>
            <w:r>
              <w:rPr>
                <w:b/>
                <w:color w:val="FFFFFF"/>
              </w:rPr>
              <w:t>Component / File</w:t>
            </w:r>
          </w:p>
        </w:tc>
        <w:tc>
          <w:tcPr>
            <w:tcW w:type="dxa" w:w="4392"/>
            <w:shd w:fill="2E74B5" w:color="auto" w:val="clear"/>
          </w:tcPr>
          <w:p>
            <w:r>
              <w:rPr>
                <w:b/>
                <w:color w:val="FFFFFF"/>
              </w:rPr>
              <w:t>Responsibility</w:t>
            </w:r>
          </w:p>
        </w:tc>
      </w:tr>
      <w:tr>
        <w:tc>
          <w:tcPr>
            <w:tcW w:type="dxa" w:w="4392"/>
          </w:tcPr>
          <w:p>
            <w:r>
              <w:t>protonIntegration.groovy</w:t>
            </w:r>
          </w:p>
        </w:tc>
        <w:tc>
          <w:tcPr>
            <w:tcW w:type="dxa" w:w="4392"/>
          </w:tcPr>
          <w:p>
            <w:r>
              <w:t>Core integration script — handles HTTP communication with Proton REST API, test run creation, result submission, PDF attachment upload, and error handling for both Standalone and Regression execution modes</w:t>
            </w:r>
          </w:p>
        </w:tc>
      </w:tr>
      <w:tr>
        <w:tc>
          <w:tcPr>
            <w:tcW w:type="dxa" w:w="4392"/>
          </w:tcPr>
          <w:p>
            <w:r>
              <w:t>validateProtonTestCase.groovy</w:t>
            </w:r>
          </w:p>
        </w:tc>
        <w:tc>
          <w:tcPr>
            <w:tcW w:type="dxa" w:w="4392"/>
          </w:tcPr>
          <w:p>
            <w:r>
              <w:t>Pre-execution approval validation — queries Proton API for test case approval status and gates pipeline execution (mirrors existing Xray approval check pattern)</w:t>
            </w:r>
          </w:p>
        </w:tc>
      </w:tr>
      <w:tr>
        <w:tc>
          <w:tcPr>
            <w:tcW w:type="dxa" w:w="4392"/>
          </w:tcPr>
          <w:p>
            <w:r>
              <w:t>Jenkinsfile (updated)</w:t>
            </w:r>
          </w:p>
        </w:tc>
        <w:tc>
          <w:tcPr>
            <w:tcW w:type="dxa" w:w="4392"/>
          </w:tcPr>
          <w:p>
            <w:r>
              <w:t>Pipeline definition updated to wire all three language runners (TypeScript, JavaScript, Python) through the Proton integration and approval validation steps</w:t>
            </w:r>
          </w:p>
        </w:tc>
      </w:tr>
    </w:tbl>
    <w:p/>
    <w:p>
      <w:pPr>
        <w:pStyle w:val="Heading3"/>
      </w:pPr>
      <w:r>
        <w:rPr>
          <w:b/>
          <w:color w:val="1F497D"/>
          <w:sz w:val="26"/>
        </w:rPr>
        <w:t>Technology Stack</w:t>
      </w:r>
    </w:p>
    <w:tbl>
      <w:tblPr>
        <w:tblStyle w:val="TableGrid"/>
        <w:tblW w:type="auto" w:w="0"/>
        <w:tblLook w:firstColumn="1" w:firstRow="1" w:lastColumn="0" w:lastRow="0" w:noHBand="0" w:noVBand="1" w:val="04A0"/>
      </w:tblPr>
      <w:tblGrid>
        <w:gridCol w:w="4392"/>
        <w:gridCol w:w="4392"/>
      </w:tblGrid>
      <w:tr>
        <w:tc>
          <w:tcPr>
            <w:tcW w:type="dxa" w:w="4392"/>
            <w:shd w:fill="2E74B5" w:color="auto" w:val="clear"/>
          </w:tcPr>
          <w:p>
            <w:r>
              <w:rPr>
                <w:b/>
                <w:color w:val="FFFFFF"/>
              </w:rPr>
              <w:t>Layer</w:t>
            </w:r>
          </w:p>
        </w:tc>
        <w:tc>
          <w:tcPr>
            <w:tcW w:type="dxa" w:w="4392"/>
            <w:shd w:fill="2E74B5" w:color="auto" w:val="clear"/>
          </w:tcPr>
          <w:p>
            <w:r>
              <w:rPr>
                <w:b/>
                <w:color w:val="FFFFFF"/>
              </w:rPr>
              <w:t>Technology</w:t>
            </w:r>
          </w:p>
        </w:tc>
      </w:tr>
      <w:tr>
        <w:tc>
          <w:tcPr>
            <w:tcW w:type="dxa" w:w="4392"/>
          </w:tcPr>
          <w:p>
            <w:r>
              <w:t>Test Framework</w:t>
            </w:r>
          </w:p>
        </w:tc>
        <w:tc>
          <w:tcPr>
            <w:tcW w:type="dxa" w:w="4392"/>
          </w:tcPr>
          <w:p>
            <w:r>
              <w:t>Playwright (TypeScript / JavaScript / Python)</w:t>
            </w:r>
          </w:p>
        </w:tc>
      </w:tr>
      <w:tr>
        <w:tc>
          <w:tcPr>
            <w:tcW w:type="dxa" w:w="4392"/>
          </w:tcPr>
          <w:p>
            <w:r>
              <w:t>Integration Scripts</w:t>
            </w:r>
          </w:p>
        </w:tc>
        <w:tc>
          <w:tcPr>
            <w:tcW w:type="dxa" w:w="4392"/>
          </w:tcPr>
          <w:p>
            <w:r>
              <w:t>Groovy (protonIntegration.groovy, validateProtonTestCase.groovy)</w:t>
            </w:r>
          </w:p>
        </w:tc>
      </w:tr>
      <w:tr>
        <w:tc>
          <w:tcPr>
            <w:tcW w:type="dxa" w:w="4392"/>
          </w:tcPr>
          <w:p>
            <w:r>
              <w:t>CI/CD</w:t>
            </w:r>
          </w:p>
        </w:tc>
        <w:tc>
          <w:tcPr>
            <w:tcW w:type="dxa" w:w="4392"/>
          </w:tcPr>
          <w:p>
            <w:r>
              <w:t>Jenkins (Jenkinsfile — all three language runners updated)</w:t>
            </w:r>
          </w:p>
        </w:tc>
      </w:tr>
      <w:tr>
        <w:tc>
          <w:tcPr>
            <w:tcW w:type="dxa" w:w="4392"/>
          </w:tcPr>
          <w:p>
            <w:r>
              <w:t>Test Management</w:t>
            </w:r>
          </w:p>
        </w:tc>
        <w:tc>
          <w:tcPr>
            <w:tcW w:type="dxa" w:w="4392"/>
          </w:tcPr>
          <w:p>
            <w:r>
              <w:t>Proton (via REST API, JSON/HTTPS)</w:t>
            </w:r>
          </w:p>
        </w:tc>
      </w:tr>
      <w:tr>
        <w:tc>
          <w:tcPr>
            <w:tcW w:type="dxa" w:w="4392"/>
          </w:tcPr>
          <w:p>
            <w:r>
              <w:t>Reporting</w:t>
            </w:r>
          </w:p>
        </w:tc>
        <w:tc>
          <w:tcPr>
            <w:tcW w:type="dxa" w:w="4392"/>
          </w:tcPr>
          <w:p>
            <w:r>
              <w:t>results.json + PDF (existing format, reused as-is)</w:t>
            </w:r>
          </w:p>
        </w:tc>
      </w:tr>
      <w:tr>
        <w:tc>
          <w:tcPr>
            <w:tcW w:type="dxa" w:w="4392"/>
          </w:tcPr>
          <w:p>
            <w:r>
              <w:t>ID Mapping</w:t>
            </w:r>
          </w:p>
        </w:tc>
        <w:tc>
          <w:tcPr>
            <w:tcW w:type="dxa" w:w="4392"/>
          </w:tcPr>
          <w:p>
            <w:r>
              <w:t>Jira IDs (e.g., DNIGMP-188) mapped to Proton test case IDs</w:t>
            </w:r>
          </w:p>
        </w:tc>
      </w:tr>
    </w:tbl>
    <w:p/>
    <w:p>
      <w:pPr>
        <w:pStyle w:val="Heading3"/>
      </w:pPr>
      <w:r>
        <w:rPr>
          <w:b/>
          <w:color w:val="1F497D"/>
          <w:sz w:val="26"/>
        </w:rPr>
        <w:t>Code Reuse</w:t>
      </w:r>
    </w:p>
    <w:p>
      <w:r>
        <w:t>Approximately 80% of the existing Xray integration code will be reused, with the Proton integration module replacing only the API client and endpoint-specific logic.</w:t>
      </w:r>
    </w:p>
    <w:p>
      <w:pPr>
        <w:pStyle w:val="Heading2"/>
      </w:pPr>
      <w:r>
        <w:rPr>
          <w:b/>
          <w:color w:val="2E74B5"/>
          <w:sz w:val="32"/>
        </w:rPr>
        <w:t>4. Effort Estimate</w:t>
      </w:r>
    </w:p>
    <w:p>
      <w:pPr>
        <w:pStyle w:val="Heading3"/>
      </w:pPr>
      <w:r>
        <w:rPr>
          <w:b/>
          <w:color w:val="1F497D"/>
          <w:sz w:val="26"/>
        </w:rPr>
        <w:t>Activity Breakdown</w:t>
      </w:r>
    </w:p>
    <w:tbl>
      <w:tblPr>
        <w:tblStyle w:val="TableGrid"/>
        <w:tblW w:type="auto" w:w="0"/>
        <w:tblLook w:firstColumn="1" w:firstRow="1" w:lastColumn="0" w:lastRow="0" w:noHBand="0" w:noVBand="1" w:val="04A0"/>
      </w:tblPr>
      <w:tblGrid>
        <w:gridCol w:w="2928"/>
        <w:gridCol w:w="2928"/>
        <w:gridCol w:w="2928"/>
      </w:tblGrid>
      <w:tr>
        <w:tc>
          <w:tcPr>
            <w:tcW w:type="dxa" w:w="2928"/>
            <w:shd w:fill="2E74B5" w:color="auto" w:val="clear"/>
          </w:tcPr>
          <w:p>
            <w:r>
              <w:rPr>
                <w:b/>
                <w:color w:val="FFFFFF"/>
              </w:rPr>
              <w:t>Activity</w:t>
            </w:r>
          </w:p>
        </w:tc>
        <w:tc>
          <w:tcPr>
            <w:tcW w:type="dxa" w:w="2928"/>
            <w:shd w:fill="2E74B5" w:color="auto" w:val="clear"/>
          </w:tcPr>
          <w:p>
            <w:r>
              <w:rPr>
                <w:b/>
                <w:color w:val="FFFFFF"/>
              </w:rPr>
              <w:t>Effort (Person Days)</w:t>
            </w:r>
          </w:p>
        </w:tc>
        <w:tc>
          <w:tcPr>
            <w:tcW w:type="dxa" w:w="2928"/>
            <w:shd w:fill="2E74B5" w:color="auto" w:val="clear"/>
          </w:tcPr>
          <w:p>
            <w:r>
              <w:rPr>
                <w:b/>
                <w:color w:val="FFFFFF"/>
              </w:rPr>
              <w:t>Notes</w:t>
            </w:r>
          </w:p>
        </w:tc>
      </w:tr>
      <w:tr>
        <w:tc>
          <w:tcPr>
            <w:tcW w:type="dxa" w:w="2928"/>
          </w:tcPr>
          <w:p>
            <w:r>
              <w:t>Discovery, Design &amp; Development</w:t>
            </w:r>
          </w:p>
        </w:tc>
        <w:tc>
          <w:tcPr>
            <w:tcW w:type="dxa" w:w="2928"/>
          </w:tcPr>
          <w:p>
            <w:r>
              <w:t>40</w:t>
            </w:r>
          </w:p>
        </w:tc>
        <w:tc>
          <w:tcPr>
            <w:tcW w:type="dxa" w:w="2928"/>
          </w:tcPr>
          <w:p>
            <w:r>
              <w:t>API analysis, integration design, implementation, pipeline updates</w:t>
            </w:r>
          </w:p>
        </w:tc>
      </w:tr>
      <w:tr>
        <w:tc>
          <w:tcPr>
            <w:tcW w:type="dxa" w:w="2928"/>
          </w:tcPr>
          <w:p>
            <w:r>
              <w:t>Testing and Validation</w:t>
            </w:r>
          </w:p>
        </w:tc>
        <w:tc>
          <w:tcPr>
            <w:tcW w:type="dxa" w:w="2928"/>
          </w:tcPr>
          <w:p>
            <w:r>
              <w:t>20</w:t>
            </w:r>
          </w:p>
        </w:tc>
        <w:tc>
          <w:tcPr>
            <w:tcW w:type="dxa" w:w="2928"/>
          </w:tcPr>
          <w:p>
            <w:r>
              <w:t>Sandbox testing, regression, edge cases, CI/CD validation</w:t>
            </w:r>
          </w:p>
        </w:tc>
      </w:tr>
      <w:tr>
        <w:tc>
          <w:tcPr>
            <w:tcW w:type="dxa" w:w="2928"/>
          </w:tcPr>
          <w:p>
            <w:r>
              <w:t>Rework as per UAT Feedback</w:t>
            </w:r>
          </w:p>
        </w:tc>
        <w:tc>
          <w:tcPr>
            <w:tcW w:type="dxa" w:w="2928"/>
          </w:tcPr>
          <w:p>
            <w:r>
              <w:t>10</w:t>
            </w:r>
          </w:p>
        </w:tc>
        <w:tc>
          <w:tcPr>
            <w:tcW w:type="dxa" w:w="2928"/>
          </w:tcPr>
          <w:p>
            <w:r>
              <w:t>Incorporating stakeholder feedback post-UAT</w:t>
            </w:r>
          </w:p>
        </w:tc>
      </w:tr>
      <w:tr>
        <w:tc>
          <w:tcPr>
            <w:tcW w:type="dxa" w:w="2928"/>
          </w:tcPr>
          <w:p>
            <w:r>
              <w:t>Total Person Days</w:t>
            </w:r>
          </w:p>
        </w:tc>
        <w:tc>
          <w:tcPr>
            <w:tcW w:type="dxa" w:w="2928"/>
          </w:tcPr>
          <w:p>
            <w:r>
              <w:t>70</w:t>
            </w:r>
          </w:p>
        </w:tc>
        <w:tc>
          <w:tcPr>
            <w:tcW w:type="dxa" w:w="2928"/>
          </w:tcPr>
          <w:p>
            <w:r/>
          </w:p>
        </w:tc>
      </w:tr>
      <w:tr>
        <w:tc>
          <w:tcPr>
            <w:tcW w:type="dxa" w:w="2928"/>
          </w:tcPr>
          <w:p>
            <w:r>
              <w:t>Total Person Months</w:t>
            </w:r>
          </w:p>
        </w:tc>
        <w:tc>
          <w:tcPr>
            <w:tcW w:type="dxa" w:w="2928"/>
          </w:tcPr>
          <w:p>
            <w:r>
              <w:t>3</w:t>
            </w:r>
          </w:p>
        </w:tc>
        <w:tc>
          <w:tcPr>
            <w:tcW w:type="dxa" w:w="2928"/>
          </w:tcPr>
          <w:p>
            <w:r>
              <w:t>Based on 21 working days/month</w:t>
            </w:r>
          </w:p>
        </w:tc>
      </w:tr>
    </w:tbl>
    <w:p/>
    <w:p>
      <w:pPr>
        <w:pStyle w:val="Heading3"/>
      </w:pPr>
      <w:r>
        <w:rPr>
          <w:b/>
          <w:color w:val="1F497D"/>
          <w:sz w:val="26"/>
        </w:rPr>
        <w:t>Key Metrics</w:t>
      </w:r>
    </w:p>
    <w:tbl>
      <w:tblPr>
        <w:tblStyle w:val="TableGrid"/>
        <w:tblW w:type="auto" w:w="0"/>
        <w:tblLook w:firstColumn="1" w:firstRow="1" w:lastColumn="0" w:lastRow="0" w:noHBand="0" w:noVBand="1" w:val="04A0"/>
      </w:tblPr>
      <w:tblGrid>
        <w:gridCol w:w="4392"/>
        <w:gridCol w:w="4392"/>
      </w:tblGrid>
      <w:tr>
        <w:tc>
          <w:tcPr>
            <w:tcW w:type="dxa" w:w="4392"/>
            <w:shd w:fill="2E74B5" w:color="auto" w:val="clear"/>
          </w:tcPr>
          <w:p>
            <w:r>
              <w:rPr>
                <w:b/>
                <w:color w:val="FFFFFF"/>
              </w:rPr>
              <w:t>Parameter</w:t>
            </w:r>
          </w:p>
        </w:tc>
        <w:tc>
          <w:tcPr>
            <w:tcW w:type="dxa" w:w="4392"/>
            <w:shd w:fill="2E74B5" w:color="auto" w:val="clear"/>
          </w:tcPr>
          <w:p>
            <w:r>
              <w:rPr>
                <w:b/>
                <w:color w:val="FFFFFF"/>
              </w:rPr>
              <w:t>Value</w:t>
            </w:r>
          </w:p>
        </w:tc>
      </w:tr>
      <w:tr>
        <w:tc>
          <w:tcPr>
            <w:tcW w:type="dxa" w:w="4392"/>
          </w:tcPr>
          <w:p>
            <w:r>
              <w:t>FTE Required</w:t>
            </w:r>
          </w:p>
        </w:tc>
        <w:tc>
          <w:tcPr>
            <w:tcW w:type="dxa" w:w="4392"/>
          </w:tcPr>
          <w:p>
            <w:r>
              <w:t>1</w:t>
            </w:r>
          </w:p>
        </w:tc>
      </w:tr>
      <w:tr>
        <w:tc>
          <w:tcPr>
            <w:tcW w:type="dxa" w:w="4392"/>
          </w:tcPr>
          <w:p>
            <w:r>
              <w:t>Working Days per Month</w:t>
            </w:r>
          </w:p>
        </w:tc>
        <w:tc>
          <w:tcPr>
            <w:tcW w:type="dxa" w:w="4392"/>
          </w:tcPr>
          <w:p>
            <w:r>
              <w:t>21</w:t>
            </w:r>
          </w:p>
        </w:tc>
      </w:tr>
      <w:tr>
        <w:tc>
          <w:tcPr>
            <w:tcW w:type="dxa" w:w="4392"/>
          </w:tcPr>
          <w:p>
            <w:r>
              <w:t>Project Duration</w:t>
            </w:r>
          </w:p>
        </w:tc>
        <w:tc>
          <w:tcPr>
            <w:tcW w:type="dxa" w:w="4392"/>
          </w:tcPr>
          <w:p>
            <w:r>
              <w:t>3 Months</w:t>
            </w:r>
          </w:p>
        </w:tc>
      </w:tr>
    </w:tbl>
    <w:p/>
    <w:p>
      <w:pPr>
        <w:pStyle w:val="Heading2"/>
      </w:pPr>
      <w:r>
        <w:rPr>
          <w:b/>
          <w:color w:val="2E74B5"/>
          <w:sz w:val="32"/>
        </w:rPr>
        <w:t>5. Project Timeline</w:t>
      </w:r>
    </w:p>
    <w:p>
      <w:pPr>
        <w:pStyle w:val="Heading3"/>
      </w:pPr>
      <w:r>
        <w:rPr>
          <w:b/>
          <w:color w:val="1F497D"/>
          <w:sz w:val="26"/>
        </w:rPr>
        <w:t>13-Week Delivery Plan</w:t>
      </w:r>
    </w:p>
    <w:tbl>
      <w:tblPr>
        <w:tblStyle w:val="TableGrid"/>
        <w:tblW w:type="auto" w:w="0"/>
        <w:tblLook w:firstColumn="1" w:firstRow="1" w:lastColumn="0" w:lastRow="0" w:noHBand="0" w:noVBand="1" w:val="04A0"/>
      </w:tblPr>
      <w:tblGrid>
        <w:gridCol w:w="2928"/>
        <w:gridCol w:w="2928"/>
        <w:gridCol w:w="2928"/>
      </w:tblGrid>
      <w:tr>
        <w:tc>
          <w:tcPr>
            <w:tcW w:type="dxa" w:w="2928"/>
            <w:shd w:fill="2E74B5" w:color="auto" w:val="clear"/>
          </w:tcPr>
          <w:p>
            <w:r>
              <w:rPr>
                <w:b/>
                <w:color w:val="FFFFFF"/>
              </w:rPr>
              <w:t>Weeks</w:t>
            </w:r>
          </w:p>
        </w:tc>
        <w:tc>
          <w:tcPr>
            <w:tcW w:type="dxa" w:w="2928"/>
            <w:shd w:fill="2E74B5" w:color="auto" w:val="clear"/>
          </w:tcPr>
          <w:p>
            <w:r>
              <w:rPr>
                <w:b/>
                <w:color w:val="FFFFFF"/>
              </w:rPr>
              <w:t>Phase</w:t>
            </w:r>
          </w:p>
        </w:tc>
        <w:tc>
          <w:tcPr>
            <w:tcW w:type="dxa" w:w="2928"/>
            <w:shd w:fill="2E74B5" w:color="auto" w:val="clear"/>
          </w:tcPr>
          <w:p>
            <w:r>
              <w:rPr>
                <w:b/>
                <w:color w:val="FFFFFF"/>
              </w:rPr>
              <w:t>Key Deliverables</w:t>
            </w:r>
          </w:p>
        </w:tc>
      </w:tr>
      <w:tr>
        <w:tc>
          <w:tcPr>
            <w:tcW w:type="dxa" w:w="2928"/>
          </w:tcPr>
          <w:p>
            <w:r>
              <w:t>1–3</w:t>
            </w:r>
          </w:p>
        </w:tc>
        <w:tc>
          <w:tcPr>
            <w:tcW w:type="dxa" w:w="2928"/>
          </w:tcPr>
          <w:p>
            <w:r>
              <w:t>Discovery</w:t>
            </w:r>
          </w:p>
        </w:tc>
        <w:tc>
          <w:tcPr>
            <w:tcW w:type="dxa" w:w="2928"/>
          </w:tcPr>
          <w:p>
            <w:r>
              <w:t>Proton API documentation reviewed, connectivity confirmed, concept map produced, design document signed off by stakeholders</w:t>
            </w:r>
          </w:p>
        </w:tc>
      </w:tr>
      <w:tr>
        <w:tc>
          <w:tcPr>
            <w:tcW w:type="dxa" w:w="2928"/>
          </w:tcPr>
          <w:p>
            <w:r>
              <w:t>4–7</w:t>
            </w:r>
          </w:p>
        </w:tc>
        <w:tc>
          <w:tcPr>
            <w:tcW w:type="dxa" w:w="2928"/>
          </w:tcPr>
          <w:p>
            <w:r>
              <w:t>Core Integration</w:t>
            </w:r>
          </w:p>
        </w:tc>
        <w:tc>
          <w:tcPr>
            <w:tcW w:type="dxa" w:w="2928"/>
          </w:tcPr>
          <w:p>
            <w:r>
              <w:t>protonIntegration.groovy — full implementation covering Standalone execution, Regression execution, and error handling</w:t>
            </w:r>
          </w:p>
        </w:tc>
      </w:tr>
      <w:tr>
        <w:tc>
          <w:tcPr>
            <w:tcW w:type="dxa" w:w="2928"/>
          </w:tcPr>
          <w:p>
            <w:r>
              <w:t>8–9</w:t>
            </w:r>
          </w:p>
        </w:tc>
        <w:tc>
          <w:tcPr>
            <w:tcW w:type="dxa" w:w="2928"/>
          </w:tcPr>
          <w:p>
            <w:r>
              <w:t>Approval Validation</w:t>
            </w:r>
          </w:p>
        </w:tc>
        <w:tc>
          <w:tcPr>
            <w:tcW w:type="dxa" w:w="2928"/>
          </w:tcPr>
          <w:p>
            <w:r>
              <w:t>validateProtonTestCase.groovy — approval status check wired into pipeline pre-execution checks (mirrors existing Xray pattern)</w:t>
            </w:r>
          </w:p>
        </w:tc>
      </w:tr>
      <w:tr>
        <w:tc>
          <w:tcPr>
            <w:tcW w:type="dxa" w:w="2928"/>
          </w:tcPr>
          <w:p>
            <w:r>
              <w:t>9</w:t>
            </w:r>
          </w:p>
        </w:tc>
        <w:tc>
          <w:tcPr>
            <w:tcW w:type="dxa" w:w="2928"/>
          </w:tcPr>
          <w:p>
            <w:r>
              <w:t>Pipeline Wiring</w:t>
            </w:r>
          </w:p>
        </w:tc>
        <w:tc>
          <w:tcPr>
            <w:tcW w:type="dxa" w:w="2928"/>
          </w:tcPr>
          <w:p>
            <w:r>
              <w:t>All three language runners (TypeScript / JavaScript / Python) and Jenkinsfile updated to route through Proton integration</w:t>
            </w:r>
          </w:p>
        </w:tc>
      </w:tr>
      <w:tr>
        <w:tc>
          <w:tcPr>
            <w:tcW w:type="dxa" w:w="2928"/>
          </w:tcPr>
          <w:p>
            <w:r>
              <w:t>10–12</w:t>
            </w:r>
          </w:p>
        </w:tc>
        <w:tc>
          <w:tcPr>
            <w:tcW w:type="dxa" w:w="2928"/>
          </w:tcPr>
          <w:p>
            <w:r>
              <w:t>Testing &amp; Validation</w:t>
            </w:r>
          </w:p>
        </w:tc>
        <w:tc>
          <w:tcPr>
            <w:tcW w:type="dxa" w:w="2928"/>
          </w:tcPr>
          <w:p>
            <w:r>
              <w:t>End-to-end tests across all language runners, failure scenario coverage, sandbox regression runs</w:t>
            </w:r>
          </w:p>
        </w:tc>
      </w:tr>
      <w:tr>
        <w:tc>
          <w:tcPr>
            <w:tcW w:type="dxa" w:w="2928"/>
          </w:tcPr>
          <w:p>
            <w:r>
              <w:t>12–13</w:t>
            </w:r>
          </w:p>
        </w:tc>
        <w:tc>
          <w:tcPr>
            <w:tcW w:type="dxa" w:w="2928"/>
          </w:tcPr>
          <w:p>
            <w:r>
              <w:t>UAT &amp; Rework</w:t>
            </w:r>
          </w:p>
        </w:tc>
        <w:tc>
          <w:tcPr>
            <w:tcW w:type="dxa" w:w="2928"/>
          </w:tcPr>
          <w:p>
            <w:r>
              <w:t>UAT execution with Proton stakeholders, rework based on feedback, production deployment, knowledge transfer</w:t>
            </w:r>
          </w:p>
        </w:tc>
      </w:tr>
    </w:tbl>
    <w:p/>
    <w:p>
      <w:pPr>
        <w:pStyle w:val="Heading3"/>
      </w:pPr>
      <w:r>
        <w:rPr>
          <w:b/>
          <w:color w:val="1F497D"/>
          <w:sz w:val="26"/>
        </w:rPr>
        <w:t>Milestone Summary</w:t>
      </w:r>
    </w:p>
    <w:tbl>
      <w:tblPr>
        <w:tblStyle w:val="TableGrid"/>
        <w:tblW w:type="auto" w:w="0"/>
        <w:tblLook w:firstColumn="1" w:firstRow="1" w:lastColumn="0" w:lastRow="0" w:noHBand="0" w:noVBand="1" w:val="04A0"/>
      </w:tblPr>
      <w:tblGrid>
        <w:gridCol w:w="4392"/>
        <w:gridCol w:w="4392"/>
      </w:tblGrid>
      <w:tr>
        <w:tc>
          <w:tcPr>
            <w:tcW w:type="dxa" w:w="4392"/>
            <w:shd w:fill="2E74B5" w:color="auto" w:val="clear"/>
          </w:tcPr>
          <w:p>
            <w:r>
              <w:rPr>
                <w:b/>
                <w:color w:val="FFFFFF"/>
              </w:rPr>
              <w:t>Milestone</w:t>
            </w:r>
          </w:p>
        </w:tc>
        <w:tc>
          <w:tcPr>
            <w:tcW w:type="dxa" w:w="4392"/>
            <w:shd w:fill="2E74B5" w:color="auto" w:val="clear"/>
          </w:tcPr>
          <w:p>
            <w:r>
              <w:rPr>
                <w:b/>
                <w:color w:val="FFFFFF"/>
              </w:rPr>
              <w:t>Target Week</w:t>
            </w:r>
          </w:p>
        </w:tc>
      </w:tr>
      <w:tr>
        <w:tc>
          <w:tcPr>
            <w:tcW w:type="dxa" w:w="4392"/>
          </w:tcPr>
          <w:p>
            <w:r>
              <w:t>Design Document Signed Off</w:t>
            </w:r>
          </w:p>
        </w:tc>
        <w:tc>
          <w:tcPr>
            <w:tcW w:type="dxa" w:w="4392"/>
          </w:tcPr>
          <w:p>
            <w:r>
              <w:t>Week 3</w:t>
            </w:r>
          </w:p>
        </w:tc>
      </w:tr>
      <w:tr>
        <w:tc>
          <w:tcPr>
            <w:tcW w:type="dxa" w:w="4392"/>
          </w:tcPr>
          <w:p>
            <w:r>
              <w:t>protonIntegration.groovy Complete</w:t>
            </w:r>
          </w:p>
        </w:tc>
        <w:tc>
          <w:tcPr>
            <w:tcW w:type="dxa" w:w="4392"/>
          </w:tcPr>
          <w:p>
            <w:r>
              <w:t>Week 7</w:t>
            </w:r>
          </w:p>
        </w:tc>
      </w:tr>
      <w:tr>
        <w:tc>
          <w:tcPr>
            <w:tcW w:type="dxa" w:w="4392"/>
          </w:tcPr>
          <w:p>
            <w:r>
              <w:t>validateProtonTestCase.groovy &amp; Pipeline Wiring Complete</w:t>
            </w:r>
          </w:p>
        </w:tc>
        <w:tc>
          <w:tcPr>
            <w:tcW w:type="dxa" w:w="4392"/>
          </w:tcPr>
          <w:p>
            <w:r>
              <w:t>Week 9</w:t>
            </w:r>
          </w:p>
        </w:tc>
      </w:tr>
      <w:tr>
        <w:tc>
          <w:tcPr>
            <w:tcW w:type="dxa" w:w="4392"/>
          </w:tcPr>
          <w:p>
            <w:r>
              <w:t>End-to-End Testing Complete (all runners)</w:t>
            </w:r>
          </w:p>
        </w:tc>
        <w:tc>
          <w:tcPr>
            <w:tcW w:type="dxa" w:w="4392"/>
          </w:tcPr>
          <w:p>
            <w:r>
              <w:t>Week 12</w:t>
            </w:r>
          </w:p>
        </w:tc>
      </w:tr>
      <w:tr>
        <w:tc>
          <w:tcPr>
            <w:tcW w:type="dxa" w:w="4392"/>
          </w:tcPr>
          <w:p>
            <w:r>
              <w:t>UAT Sign-Off &amp; Production Go-Live</w:t>
            </w:r>
          </w:p>
        </w:tc>
        <w:tc>
          <w:tcPr>
            <w:tcW w:type="dxa" w:w="4392"/>
          </w:tcPr>
          <w:p>
            <w:r>
              <w:t>Week 13</w:t>
            </w:r>
          </w:p>
        </w:tc>
      </w:tr>
    </w:tbl>
    <w:p/>
    <w:p>
      <w:pPr>
        <w:pStyle w:val="Heading2"/>
      </w:pPr>
      <w:r>
        <w:rPr>
          <w:b/>
          <w:color w:val="2E74B5"/>
          <w:sz w:val="32"/>
        </w:rPr>
        <w:t>6. Team Structure</w:t>
      </w:r>
    </w:p>
    <w:p>
      <w:pPr>
        <w:pStyle w:val="Heading3"/>
      </w:pPr>
      <w:r>
        <w:rPr>
          <w:b/>
          <w:color w:val="1F497D"/>
          <w:sz w:val="26"/>
        </w:rPr>
        <w:t>Proposed Team</w:t>
      </w:r>
    </w:p>
    <w:tbl>
      <w:tblPr>
        <w:tblStyle w:val="TableGrid"/>
        <w:tblW w:type="auto" w:w="0"/>
        <w:tblLook w:firstColumn="1" w:firstRow="1" w:lastColumn="0" w:lastRow="0" w:noHBand="0" w:noVBand="1" w:val="04A0"/>
      </w:tblPr>
      <w:tblGrid>
        <w:gridCol w:w="2928"/>
        <w:gridCol w:w="2928"/>
        <w:gridCol w:w="2928"/>
      </w:tblGrid>
      <w:tr>
        <w:tc>
          <w:tcPr>
            <w:tcW w:type="dxa" w:w="2928"/>
            <w:shd w:fill="2E74B5" w:color="auto" w:val="clear"/>
          </w:tcPr>
          <w:p>
            <w:r>
              <w:rPr>
                <w:b/>
                <w:color w:val="FFFFFF"/>
              </w:rPr>
              <w:t>Role</w:t>
            </w:r>
          </w:p>
        </w:tc>
        <w:tc>
          <w:tcPr>
            <w:tcW w:type="dxa" w:w="2928"/>
            <w:shd w:fill="2E74B5" w:color="auto" w:val="clear"/>
          </w:tcPr>
          <w:p>
            <w:r>
              <w:rPr>
                <w:b/>
                <w:color w:val="FFFFFF"/>
              </w:rPr>
              <w:t>Headcount</w:t>
            </w:r>
          </w:p>
        </w:tc>
        <w:tc>
          <w:tcPr>
            <w:tcW w:type="dxa" w:w="2928"/>
            <w:shd w:fill="2E74B5" w:color="auto" w:val="clear"/>
          </w:tcPr>
          <w:p>
            <w:r>
              <w:rPr>
                <w:b/>
                <w:color w:val="FFFFFF"/>
              </w:rPr>
              <w:t>Responsibilities</w:t>
            </w:r>
          </w:p>
        </w:tc>
      </w:tr>
      <w:tr>
        <w:tc>
          <w:tcPr>
            <w:tcW w:type="dxa" w:w="2928"/>
          </w:tcPr>
          <w:p>
            <w:r>
              <w:t>Senior Test Automation Engineer</w:t>
            </w:r>
          </w:p>
        </w:tc>
        <w:tc>
          <w:tcPr>
            <w:tcW w:type="dxa" w:w="2928"/>
          </w:tcPr>
          <w:p>
            <w:r>
              <w:t>1 (FTE)</w:t>
            </w:r>
          </w:p>
        </w:tc>
        <w:tc>
          <w:tcPr>
            <w:tcW w:type="dxa" w:w="2928"/>
          </w:tcPr>
          <w:p>
            <w:r>
              <w:t>End-to-end delivery: API analysis, design, development, testing, UAT support, documentation</w:t>
            </w:r>
          </w:p>
        </w:tc>
      </w:tr>
    </w:tbl>
    <w:p/>
    <w:p>
      <w:pPr>
        <w:pStyle w:val="Heading3"/>
      </w:pPr>
      <w:r>
        <w:rPr>
          <w:b/>
          <w:color w:val="1F497D"/>
          <w:sz w:val="26"/>
        </w:rPr>
        <w:t>Collaboration Requirements (Proton Team)</w:t>
      </w:r>
    </w:p>
    <w:p>
      <w:r>
        <w:t>The Proton team is requested to provide approximately 3 days of collaboration spread across the 12-week engagement, covering:</w:t>
      </w:r>
    </w:p>
    <w:p>
      <w:pPr>
        <w:pStyle w:val="ListBullet"/>
      </w:pPr>
      <w:r>
        <w:t>API onboarding and credential/access provisioning</w:t>
      </w:r>
    </w:p>
    <w:p>
      <w:pPr>
        <w:pStyle w:val="ListBullet"/>
      </w:pPr>
      <w:r>
        <w:t>Clarification of test case ID mapping and data model queries</w:t>
      </w:r>
    </w:p>
    <w:p>
      <w:pPr>
        <w:pStyle w:val="ListBullet"/>
      </w:pPr>
      <w:r>
        <w:t>UAT participation and sign-off</w:t>
      </w:r>
    </w:p>
    <w:p>
      <w:pPr>
        <w:pStyle w:val="Heading2"/>
      </w:pPr>
      <w:r>
        <w:rPr>
          <w:b/>
          <w:color w:val="2E74B5"/>
          <w:sz w:val="32"/>
        </w:rPr>
        <w:t>7. Commercials</w:t>
      </w:r>
    </w:p>
    <w:p>
      <w:pPr>
        <w:pStyle w:val="Heading3"/>
      </w:pPr>
      <w:r>
        <w:rPr>
          <w:b/>
          <w:color w:val="1F497D"/>
          <w:sz w:val="26"/>
        </w:rPr>
        <w:t>Pricing Summary</w:t>
      </w:r>
    </w:p>
    <w:tbl>
      <w:tblPr>
        <w:tblStyle w:val="TableGrid"/>
        <w:tblW w:type="auto" w:w="0"/>
        <w:tblLook w:firstColumn="1" w:firstRow="1" w:lastColumn="0" w:lastRow="0" w:noHBand="0" w:noVBand="1" w:val="04A0"/>
      </w:tblPr>
      <w:tblGrid>
        <w:gridCol w:w="4392"/>
        <w:gridCol w:w="4392"/>
      </w:tblGrid>
      <w:tr>
        <w:tc>
          <w:tcPr>
            <w:tcW w:type="dxa" w:w="4392"/>
            <w:shd w:fill="2E74B5" w:color="auto" w:val="clear"/>
          </w:tcPr>
          <w:p>
            <w:r>
              <w:rPr>
                <w:b/>
                <w:color w:val="FFFFFF"/>
              </w:rPr>
              <w:t>Parameter</w:t>
            </w:r>
          </w:p>
        </w:tc>
        <w:tc>
          <w:tcPr>
            <w:tcW w:type="dxa" w:w="4392"/>
            <w:shd w:fill="2E74B5" w:color="auto" w:val="clear"/>
          </w:tcPr>
          <w:p>
            <w:r>
              <w:rPr>
                <w:b/>
                <w:color w:val="FFFFFF"/>
              </w:rPr>
              <w:t>Value</w:t>
            </w:r>
          </w:p>
        </w:tc>
      </w:tr>
      <w:tr>
        <w:tc>
          <w:tcPr>
            <w:tcW w:type="dxa" w:w="4392"/>
          </w:tcPr>
          <w:p>
            <w:r>
              <w:t>Engagement Model</w:t>
            </w:r>
          </w:p>
        </w:tc>
        <w:tc>
          <w:tcPr>
            <w:tcW w:type="dxa" w:w="4392"/>
          </w:tcPr>
          <w:p>
            <w:r>
              <w:t>Fixed Price</w:t>
            </w:r>
          </w:p>
        </w:tc>
      </w:tr>
      <w:tr>
        <w:tc>
          <w:tcPr>
            <w:tcW w:type="dxa" w:w="4392"/>
          </w:tcPr>
          <w:p>
            <w:r>
              <w:t>Average Day Rate (ADR)</w:t>
            </w:r>
          </w:p>
        </w:tc>
        <w:tc>
          <w:tcPr>
            <w:tcW w:type="dxa" w:w="4392"/>
          </w:tcPr>
          <w:p>
            <w:r>
              <w:t>CHF 181</w:t>
            </w:r>
          </w:p>
        </w:tc>
      </w:tr>
      <w:tr>
        <w:tc>
          <w:tcPr>
            <w:tcW w:type="dxa" w:w="4392"/>
          </w:tcPr>
          <w:p>
            <w:r>
              <w:t>Working Days per Month</w:t>
            </w:r>
          </w:p>
        </w:tc>
        <w:tc>
          <w:tcPr>
            <w:tcW w:type="dxa" w:w="4392"/>
          </w:tcPr>
          <w:p>
            <w:r>
              <w:t>21</w:t>
            </w:r>
          </w:p>
        </w:tc>
      </w:tr>
      <w:tr>
        <w:tc>
          <w:tcPr>
            <w:tcW w:type="dxa" w:w="4392"/>
          </w:tcPr>
          <w:p>
            <w:r>
              <w:t>Monthly Cost</w:t>
            </w:r>
          </w:p>
        </w:tc>
        <w:tc>
          <w:tcPr>
            <w:tcW w:type="dxa" w:w="4392"/>
          </w:tcPr>
          <w:p>
            <w:r>
              <w:t>CHF 3,801</w:t>
            </w:r>
          </w:p>
        </w:tc>
      </w:tr>
      <w:tr>
        <w:tc>
          <w:tcPr>
            <w:tcW w:type="dxa" w:w="4392"/>
          </w:tcPr>
          <w:p>
            <w:r>
              <w:t>Project Duration</w:t>
            </w:r>
          </w:p>
        </w:tc>
        <w:tc>
          <w:tcPr>
            <w:tcW w:type="dxa" w:w="4392"/>
          </w:tcPr>
          <w:p>
            <w:r>
              <w:t>3 Months</w:t>
            </w:r>
          </w:p>
        </w:tc>
      </w:tr>
      <w:tr>
        <w:tc>
          <w:tcPr>
            <w:tcW w:type="dxa" w:w="4392"/>
          </w:tcPr>
          <w:p>
            <w:r>
              <w:t>Total Project Cost</w:t>
            </w:r>
          </w:p>
        </w:tc>
        <w:tc>
          <w:tcPr>
            <w:tcW w:type="dxa" w:w="4392"/>
          </w:tcPr>
          <w:p>
            <w:r>
              <w:t>CHF 11,403</w:t>
            </w:r>
          </w:p>
        </w:tc>
      </w:tr>
    </w:tbl>
    <w:p/>
    <w:p>
      <w:pPr>
        <w:pStyle w:val="Heading3"/>
      </w:pPr>
      <w:r>
        <w:rPr>
          <w:b/>
          <w:color w:val="1F497D"/>
          <w:sz w:val="26"/>
        </w:rPr>
        <w:t>Cost Breakdown by Phase</w:t>
      </w:r>
    </w:p>
    <w:tbl>
      <w:tblPr>
        <w:tblStyle w:val="TableGrid"/>
        <w:tblW w:type="auto" w:w="0"/>
        <w:tblLook w:firstColumn="1" w:firstRow="1" w:lastColumn="0" w:lastRow="0" w:noHBand="0" w:noVBand="1" w:val="04A0"/>
      </w:tblPr>
      <w:tblGrid>
        <w:gridCol w:w="2928"/>
        <w:gridCol w:w="2928"/>
        <w:gridCol w:w="2928"/>
      </w:tblGrid>
      <w:tr>
        <w:tc>
          <w:tcPr>
            <w:tcW w:type="dxa" w:w="2928"/>
            <w:shd w:fill="2E74B5" w:color="auto" w:val="clear"/>
          </w:tcPr>
          <w:p>
            <w:r>
              <w:rPr>
                <w:b/>
                <w:color w:val="FFFFFF"/>
              </w:rPr>
              <w:t>Phase</w:t>
            </w:r>
          </w:p>
        </w:tc>
        <w:tc>
          <w:tcPr>
            <w:tcW w:type="dxa" w:w="2928"/>
            <w:shd w:fill="2E74B5" w:color="auto" w:val="clear"/>
          </w:tcPr>
          <w:p>
            <w:r>
              <w:rPr>
                <w:b/>
                <w:color w:val="FFFFFF"/>
              </w:rPr>
              <w:t>Person Days</w:t>
            </w:r>
          </w:p>
        </w:tc>
        <w:tc>
          <w:tcPr>
            <w:tcW w:type="dxa" w:w="2928"/>
            <w:shd w:fill="2E74B5" w:color="auto" w:val="clear"/>
          </w:tcPr>
          <w:p>
            <w:r>
              <w:rPr>
                <w:b/>
                <w:color w:val="FFFFFF"/>
              </w:rPr>
              <w:t>Cost (CHF)</w:t>
            </w:r>
          </w:p>
        </w:tc>
      </w:tr>
      <w:tr>
        <w:tc>
          <w:tcPr>
            <w:tcW w:type="dxa" w:w="2928"/>
          </w:tcPr>
          <w:p>
            <w:r>
              <w:t>Discovery, Design &amp; Development</w:t>
            </w:r>
          </w:p>
        </w:tc>
        <w:tc>
          <w:tcPr>
            <w:tcW w:type="dxa" w:w="2928"/>
          </w:tcPr>
          <w:p>
            <w:r>
              <w:t>40</w:t>
            </w:r>
          </w:p>
        </w:tc>
        <w:tc>
          <w:tcPr>
            <w:tcW w:type="dxa" w:w="2928"/>
          </w:tcPr>
          <w:p>
            <w:r>
              <w:t>7,240</w:t>
            </w:r>
          </w:p>
        </w:tc>
      </w:tr>
      <w:tr>
        <w:tc>
          <w:tcPr>
            <w:tcW w:type="dxa" w:w="2928"/>
          </w:tcPr>
          <w:p>
            <w:r>
              <w:t>Testing and Validation</w:t>
            </w:r>
          </w:p>
        </w:tc>
        <w:tc>
          <w:tcPr>
            <w:tcW w:type="dxa" w:w="2928"/>
          </w:tcPr>
          <w:p>
            <w:r>
              <w:t>20</w:t>
            </w:r>
          </w:p>
        </w:tc>
        <w:tc>
          <w:tcPr>
            <w:tcW w:type="dxa" w:w="2928"/>
          </w:tcPr>
          <w:p>
            <w:r>
              <w:t>3,620</w:t>
            </w:r>
          </w:p>
        </w:tc>
      </w:tr>
      <w:tr>
        <w:tc>
          <w:tcPr>
            <w:tcW w:type="dxa" w:w="2928"/>
          </w:tcPr>
          <w:p>
            <w:r>
              <w:t>Rework as per UAT Feedback</w:t>
            </w:r>
          </w:p>
        </w:tc>
        <w:tc>
          <w:tcPr>
            <w:tcW w:type="dxa" w:w="2928"/>
          </w:tcPr>
          <w:p>
            <w:r>
              <w:t>10</w:t>
            </w:r>
          </w:p>
        </w:tc>
        <w:tc>
          <w:tcPr>
            <w:tcW w:type="dxa" w:w="2928"/>
          </w:tcPr>
          <w:p>
            <w:r>
              <w:t>1,810</w:t>
            </w:r>
          </w:p>
        </w:tc>
      </w:tr>
      <w:tr>
        <w:tc>
          <w:tcPr>
            <w:tcW w:type="dxa" w:w="2928"/>
          </w:tcPr>
          <w:p>
            <w:r>
              <w:t>Total</w:t>
            </w:r>
          </w:p>
        </w:tc>
        <w:tc>
          <w:tcPr>
            <w:tcW w:type="dxa" w:w="2928"/>
          </w:tcPr>
          <w:p>
            <w:r>
              <w:t>70</w:t>
            </w:r>
          </w:p>
        </w:tc>
        <w:tc>
          <w:tcPr>
            <w:tcW w:type="dxa" w:w="2928"/>
          </w:tcPr>
          <w:p>
            <w:r>
              <w:t>12,670</w:t>
            </w:r>
          </w:p>
        </w:tc>
      </w:tr>
    </w:tbl>
    <w:p/>
    <w:p>
      <w:pPr>
        <w:ind w:left="576"/>
      </w:pPr>
      <w:r>
        <w:rPr>
          <w:i/>
          <w:color w:val="606060"/>
        </w:rPr>
        <w:t>Note: The fixed project cost is CHF 11,403 based on the agreed monthly rate. Any scope changes beyond what is defined in Section 2 will be subject to a formal change request and revised pricing.</w:t>
      </w:r>
    </w:p>
    <w:p>
      <w:pPr>
        <w:pStyle w:val="Heading3"/>
      </w:pPr>
      <w:r>
        <w:rPr>
          <w:b/>
          <w:color w:val="1F497D"/>
          <w:sz w:val="26"/>
        </w:rPr>
        <w:t>Payment Terms</w:t>
      </w:r>
    </w:p>
    <w:tbl>
      <w:tblPr>
        <w:tblStyle w:val="TableGrid"/>
        <w:tblW w:type="auto" w:w="0"/>
        <w:tblLook w:firstColumn="1" w:firstRow="1" w:lastColumn="0" w:lastRow="0" w:noHBand="0" w:noVBand="1" w:val="04A0"/>
      </w:tblPr>
      <w:tblGrid>
        <w:gridCol w:w="2928"/>
        <w:gridCol w:w="2928"/>
        <w:gridCol w:w="2928"/>
      </w:tblGrid>
      <w:tr>
        <w:tc>
          <w:tcPr>
            <w:tcW w:type="dxa" w:w="2928"/>
            <w:shd w:fill="2E74B5" w:color="auto" w:val="clear"/>
          </w:tcPr>
          <w:p>
            <w:r>
              <w:rPr>
                <w:b/>
                <w:color w:val="FFFFFF"/>
              </w:rPr>
              <w:t>Milestone</w:t>
            </w:r>
          </w:p>
        </w:tc>
        <w:tc>
          <w:tcPr>
            <w:tcW w:type="dxa" w:w="2928"/>
            <w:shd w:fill="2E74B5" w:color="auto" w:val="clear"/>
          </w:tcPr>
          <w:p>
            <w:r>
              <w:rPr>
                <w:b/>
                <w:color w:val="FFFFFF"/>
              </w:rPr>
              <w:t>Payment (%)</w:t>
            </w:r>
          </w:p>
        </w:tc>
        <w:tc>
          <w:tcPr>
            <w:tcW w:type="dxa" w:w="2928"/>
            <w:shd w:fill="2E74B5" w:color="auto" w:val="clear"/>
          </w:tcPr>
          <w:p>
            <w:r>
              <w:rPr>
                <w:b/>
                <w:color w:val="FFFFFF"/>
              </w:rPr>
              <w:t>Amount (CHF)</w:t>
            </w:r>
          </w:p>
        </w:tc>
      </w:tr>
      <w:tr>
        <w:tc>
          <w:tcPr>
            <w:tcW w:type="dxa" w:w="2928"/>
          </w:tcPr>
          <w:p>
            <w:r>
              <w:t>Project Kickoff</w:t>
            </w:r>
          </w:p>
        </w:tc>
        <w:tc>
          <w:tcPr>
            <w:tcW w:type="dxa" w:w="2928"/>
          </w:tcPr>
          <w:p>
            <w:r>
              <w:t>30%</w:t>
            </w:r>
          </w:p>
        </w:tc>
        <w:tc>
          <w:tcPr>
            <w:tcW w:type="dxa" w:w="2928"/>
          </w:tcPr>
          <w:p>
            <w:r>
              <w:t>3,421</w:t>
            </w:r>
          </w:p>
        </w:tc>
      </w:tr>
      <w:tr>
        <w:tc>
          <w:tcPr>
            <w:tcW w:type="dxa" w:w="2928"/>
          </w:tcPr>
          <w:p>
            <w:r>
              <w:t>Development Complete (Week 9)</w:t>
            </w:r>
          </w:p>
        </w:tc>
        <w:tc>
          <w:tcPr>
            <w:tcW w:type="dxa" w:w="2928"/>
          </w:tcPr>
          <w:p>
            <w:r>
              <w:t>40%</w:t>
            </w:r>
          </w:p>
        </w:tc>
        <w:tc>
          <w:tcPr>
            <w:tcW w:type="dxa" w:w="2928"/>
          </w:tcPr>
          <w:p>
            <w:r>
              <w:t>4,561</w:t>
            </w:r>
          </w:p>
        </w:tc>
      </w:tr>
      <w:tr>
        <w:tc>
          <w:tcPr>
            <w:tcW w:type="dxa" w:w="2928"/>
          </w:tcPr>
          <w:p>
            <w:r>
              <w:t>UAT Sign-Off &amp; Go-Live (Week 12)</w:t>
            </w:r>
          </w:p>
        </w:tc>
        <w:tc>
          <w:tcPr>
            <w:tcW w:type="dxa" w:w="2928"/>
          </w:tcPr>
          <w:p>
            <w:r>
              <w:t>30%</w:t>
            </w:r>
          </w:p>
        </w:tc>
        <w:tc>
          <w:tcPr>
            <w:tcW w:type="dxa" w:w="2928"/>
          </w:tcPr>
          <w:p>
            <w:r>
              <w:t>3,421</w:t>
            </w:r>
          </w:p>
        </w:tc>
      </w:tr>
      <w:tr>
        <w:tc>
          <w:tcPr>
            <w:tcW w:type="dxa" w:w="2928"/>
          </w:tcPr>
          <w:p>
            <w:r>
              <w:t>Total</w:t>
            </w:r>
          </w:p>
        </w:tc>
        <w:tc>
          <w:tcPr>
            <w:tcW w:type="dxa" w:w="2928"/>
          </w:tcPr>
          <w:p>
            <w:r>
              <w:t>100%</w:t>
            </w:r>
          </w:p>
        </w:tc>
        <w:tc>
          <w:tcPr>
            <w:tcW w:type="dxa" w:w="2928"/>
          </w:tcPr>
          <w:p>
            <w:r>
              <w:t>11,403</w:t>
            </w:r>
          </w:p>
        </w:tc>
      </w:tr>
    </w:tbl>
    <w:p/>
    <w:p>
      <w:pPr>
        <w:pStyle w:val="Heading2"/>
      </w:pPr>
      <w:r>
        <w:rPr>
          <w:b/>
          <w:color w:val="2E74B5"/>
          <w:sz w:val="32"/>
        </w:rPr>
        <w:t>8. Assumptions and Dependencies</w:t>
      </w:r>
    </w:p>
    <w:p>
      <w:pPr>
        <w:pStyle w:val="Heading3"/>
      </w:pPr>
      <w:r>
        <w:rPr>
          <w:b/>
          <w:color w:val="1F497D"/>
          <w:sz w:val="26"/>
        </w:rPr>
        <w:t>Assumptions</w:t>
      </w:r>
    </w:p>
    <w:tbl>
      <w:tblPr>
        <w:tblStyle w:val="TableGrid"/>
        <w:tblW w:type="auto" w:w="0"/>
        <w:tblLook w:firstColumn="1" w:firstRow="1" w:lastColumn="0" w:lastRow="0" w:noHBand="0" w:noVBand="1" w:val="04A0"/>
      </w:tblPr>
      <w:tblGrid>
        <w:gridCol w:w="4392"/>
        <w:gridCol w:w="4392"/>
      </w:tblGrid>
      <w:tr>
        <w:tc>
          <w:tcPr>
            <w:tcW w:type="dxa" w:w="4392"/>
            <w:shd w:fill="2E74B5" w:color="auto" w:val="clear"/>
          </w:tcPr>
          <w:p>
            <w:r>
              <w:rPr>
                <w:b/>
                <w:color w:val="FFFFFF"/>
              </w:rPr>
              <w:t>#</w:t>
            </w:r>
          </w:p>
        </w:tc>
        <w:tc>
          <w:tcPr>
            <w:tcW w:type="dxa" w:w="4392"/>
            <w:shd w:fill="2E74B5" w:color="auto" w:val="clear"/>
          </w:tcPr>
          <w:p>
            <w:r>
              <w:rPr>
                <w:b/>
                <w:color w:val="FFFFFF"/>
              </w:rPr>
              <w:t>Assumption</w:t>
            </w:r>
          </w:p>
        </w:tc>
      </w:tr>
      <w:tr>
        <w:tc>
          <w:tcPr>
            <w:tcW w:type="dxa" w:w="4392"/>
          </w:tcPr>
          <w:p>
            <w:r>
              <w:t>A1</w:t>
            </w:r>
          </w:p>
        </w:tc>
        <w:tc>
          <w:tcPr>
            <w:tcW w:type="dxa" w:w="4392"/>
          </w:tcPr>
          <w:p>
            <w:r>
              <w:t>Proton exposes a REST API (JSON/HTTPS) that supports creating test runs, submitting results, and uploading file attachments programmatically. Without this, integration is not feasible.</w:t>
            </w:r>
          </w:p>
        </w:tc>
      </w:tr>
      <w:tr>
        <w:tc>
          <w:tcPr>
            <w:tcW w:type="dxa" w:w="4392"/>
          </w:tcPr>
          <w:p>
            <w:r>
              <w:t>A2</w:t>
            </w:r>
          </w:p>
        </w:tc>
        <w:tc>
          <w:tcPr>
            <w:tcW w:type="dxa" w:w="4392"/>
          </w:tcPr>
          <w:p>
            <w:r>
              <w:t>Proton test cases use the same IDs as Jira (e.g., DNIGMP-188) or a clear, queryable mapping exists between the two systems.</w:t>
            </w:r>
          </w:p>
        </w:tc>
      </w:tr>
      <w:tr>
        <w:tc>
          <w:tcPr>
            <w:tcW w:type="dxa" w:w="4392"/>
          </w:tcPr>
          <w:p>
            <w:r>
              <w:t>A3</w:t>
            </w:r>
          </w:p>
        </w:tc>
        <w:tc>
          <w:tcPr>
            <w:tcW w:type="dxa" w:w="4392"/>
          </w:tcPr>
          <w:p>
            <w:r>
              <w:t>Proton exposes a test case approval status via API so the pipeline can validate approval before execution — same pattern as the current Xray check.</w:t>
            </w:r>
          </w:p>
        </w:tc>
      </w:tr>
      <w:tr>
        <w:tc>
          <w:tcPr>
            <w:tcW w:type="dxa" w:w="4392"/>
          </w:tcPr>
          <w:p>
            <w:r>
              <w:t>A4</w:t>
            </w:r>
          </w:p>
        </w:tc>
        <w:tc>
          <w:tcPr>
            <w:tcW w:type="dxa" w:w="4392"/>
          </w:tcPr>
          <w:p>
            <w:r>
              <w:t>A Proton sandbox/test project is available for development and testing (Weeks 4–12) to avoid polluting live data.</w:t>
            </w:r>
          </w:p>
        </w:tc>
      </w:tr>
      <w:tr>
        <w:tc>
          <w:tcPr>
            <w:tcW w:type="dxa" w:w="4392"/>
          </w:tcPr>
          <w:p>
            <w:r>
              <w:t>A5</w:t>
            </w:r>
          </w:p>
        </w:tc>
        <w:tc>
          <w:tcPr>
            <w:tcW w:type="dxa" w:w="4392"/>
          </w:tcPr>
          <w:p>
            <w:r>
              <w:t>The existing PDF report format and results.json structure are accepted by Proton stakeholders without modification (~80% of existing code is reused as-is).</w:t>
            </w:r>
          </w:p>
        </w:tc>
      </w:tr>
      <w:tr>
        <w:tc>
          <w:tcPr>
            <w:tcW w:type="dxa" w:w="4392"/>
          </w:tcPr>
          <w:p>
            <w:r>
              <w:t>A6</w:t>
            </w:r>
          </w:p>
        </w:tc>
        <w:tc>
          <w:tcPr>
            <w:tcW w:type="dxa" w:w="4392"/>
          </w:tcPr>
          <w:p>
            <w:r>
              <w:t>The Proton team is available for approximately 3 days of collaboration (API questions, test data, UAT sign-off) spread across the 12 weeks.</w:t>
            </w:r>
          </w:p>
        </w:tc>
      </w:tr>
      <w:tr>
        <w:tc>
          <w:tcPr>
            <w:tcW w:type="dxa" w:w="4392"/>
          </w:tcPr>
          <w:p>
            <w:r>
              <w:t>A7</w:t>
            </w:r>
          </w:p>
        </w:tc>
        <w:tc>
          <w:tcPr>
            <w:tcW w:type="dxa" w:w="4392"/>
          </w:tcPr>
          <w:p>
            <w:r>
              <w:t>Existing CI/CD pipeline infrastructure is in place and accessible; no new infrastructure provisioning is required as part of this engagement.</w:t>
            </w:r>
          </w:p>
        </w:tc>
      </w:tr>
      <w:tr>
        <w:tc>
          <w:tcPr>
            <w:tcW w:type="dxa" w:w="4392"/>
          </w:tcPr>
          <w:p>
            <w:r>
              <w:t>A8</w:t>
            </w:r>
          </w:p>
        </w:tc>
        <w:tc>
          <w:tcPr>
            <w:tcW w:type="dxa" w:w="4392"/>
          </w:tcPr>
          <w:p>
            <w:r>
              <w:t>All required API credentials, access tokens, and sandbox environment details will be provided to the Altimetrik team by the end of Week 1.</w:t>
            </w:r>
          </w:p>
        </w:tc>
      </w:tr>
    </w:tbl>
    <w:p/>
    <w:p>
      <w:pPr>
        <w:pStyle w:val="Heading3"/>
      </w:pPr>
      <w:r>
        <w:rPr>
          <w:b/>
          <w:color w:val="1F497D"/>
          <w:sz w:val="26"/>
        </w:rPr>
        <w:t>Dependencies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fill="2E74B5" w:color="auto" w:val="clear"/>
          </w:tcPr>
          <w:p>
            <w:r>
              <w:rPr>
                <w:b/>
                <w:color w:val="FFFFFF"/>
              </w:rPr>
              <w:t>#</w:t>
            </w:r>
          </w:p>
        </w:tc>
        <w:tc>
          <w:tcPr>
            <w:tcW w:type="dxa" w:w="2196"/>
            <w:shd w:fill="2E74B5" w:color="auto" w:val="clear"/>
          </w:tcPr>
          <w:p>
            <w:r>
              <w:rPr>
                <w:b/>
                <w:color w:val="FFFFFF"/>
              </w:rPr>
              <w:t>Dependency</w:t>
            </w:r>
          </w:p>
        </w:tc>
        <w:tc>
          <w:tcPr>
            <w:tcW w:type="dxa" w:w="2196"/>
            <w:shd w:fill="2E74B5" w:color="auto" w:val="clear"/>
          </w:tcPr>
          <w:p>
            <w:r>
              <w:rPr>
                <w:b/>
                <w:color w:val="FFFFFF"/>
              </w:rPr>
              <w:t>Owner</w:t>
            </w:r>
          </w:p>
        </w:tc>
        <w:tc>
          <w:tcPr>
            <w:tcW w:type="dxa" w:w="2196"/>
            <w:shd w:fill="2E74B5" w:color="auto" w:val="clear"/>
          </w:tcPr>
          <w:p>
            <w:r>
              <w:rPr>
                <w:b/>
                <w:color w:val="FFFFFF"/>
              </w:rPr>
              <w:t>Required By</w:t>
            </w:r>
          </w:p>
        </w:tc>
      </w:tr>
      <w:tr>
        <w:tc>
          <w:tcPr>
            <w:tcW w:type="dxa" w:w="2196"/>
          </w:tcPr>
          <w:p>
            <w:r>
              <w:t>D1</w:t>
            </w:r>
          </w:p>
        </w:tc>
        <w:tc>
          <w:tcPr>
            <w:tcW w:type="dxa" w:w="2196"/>
          </w:tcPr>
          <w:p>
            <w:r>
              <w:t>Proton REST API documentation and access credentials</w:t>
            </w:r>
          </w:p>
        </w:tc>
        <w:tc>
          <w:tcPr>
            <w:tcW w:type="dxa" w:w="2196"/>
          </w:tcPr>
          <w:p>
            <w:r>
              <w:t>Proton Team</w:t>
            </w:r>
          </w:p>
        </w:tc>
        <w:tc>
          <w:tcPr>
            <w:tcW w:type="dxa" w:w="2196"/>
          </w:tcPr>
          <w:p>
            <w:r>
              <w:t>Week 1</w:t>
            </w:r>
          </w:p>
        </w:tc>
      </w:tr>
      <w:tr>
        <w:tc>
          <w:tcPr>
            <w:tcW w:type="dxa" w:w="2196"/>
          </w:tcPr>
          <w:p>
            <w:r>
              <w:t>D2</w:t>
            </w:r>
          </w:p>
        </w:tc>
        <w:tc>
          <w:tcPr>
            <w:tcW w:type="dxa" w:w="2196"/>
          </w:tcPr>
          <w:p>
            <w:r>
              <w:t>Proton sandbox environment provisioned and accessible</w:t>
            </w:r>
          </w:p>
        </w:tc>
        <w:tc>
          <w:tcPr>
            <w:tcW w:type="dxa" w:w="2196"/>
          </w:tcPr>
          <w:p>
            <w:r>
              <w:t>Proton Team</w:t>
            </w:r>
          </w:p>
        </w:tc>
        <w:tc>
          <w:tcPr>
            <w:tcW w:type="dxa" w:w="2196"/>
          </w:tcPr>
          <w:p>
            <w:r>
              <w:t>Week 4</w:t>
            </w:r>
          </w:p>
        </w:tc>
      </w:tr>
      <w:tr>
        <w:tc>
          <w:tcPr>
            <w:tcW w:type="dxa" w:w="2196"/>
          </w:tcPr>
          <w:p>
            <w:r>
              <w:t>D3</w:t>
            </w:r>
          </w:p>
        </w:tc>
        <w:tc>
          <w:tcPr>
            <w:tcW w:type="dxa" w:w="2196"/>
          </w:tcPr>
          <w:p>
            <w:r>
              <w:t>Confirmation of Jira-to-Proton ID mapping approach</w:t>
            </w:r>
          </w:p>
        </w:tc>
        <w:tc>
          <w:tcPr>
            <w:tcW w:type="dxa" w:w="2196"/>
          </w:tcPr>
          <w:p>
            <w:r>
              <w:t>Proton Team</w:t>
            </w:r>
          </w:p>
        </w:tc>
        <w:tc>
          <w:tcPr>
            <w:tcW w:type="dxa" w:w="2196"/>
          </w:tcPr>
          <w:p>
            <w:r>
              <w:t>Week 3</w:t>
            </w:r>
          </w:p>
        </w:tc>
      </w:tr>
      <w:tr>
        <w:tc>
          <w:tcPr>
            <w:tcW w:type="dxa" w:w="2196"/>
          </w:tcPr>
          <w:p>
            <w:r>
              <w:t>D4</w:t>
            </w:r>
          </w:p>
        </w:tc>
        <w:tc>
          <w:tcPr>
            <w:tcW w:type="dxa" w:w="2196"/>
          </w:tcPr>
          <w:p>
            <w:r>
              <w:t>Approval status API endpoint confirmed and documented</w:t>
            </w:r>
          </w:p>
        </w:tc>
        <w:tc>
          <w:tcPr>
            <w:tcW w:type="dxa" w:w="2196"/>
          </w:tcPr>
          <w:p>
            <w:r>
              <w:t>Proton Team</w:t>
            </w:r>
          </w:p>
        </w:tc>
        <w:tc>
          <w:tcPr>
            <w:tcW w:type="dxa" w:w="2196"/>
          </w:tcPr>
          <w:p>
            <w:r>
              <w:t>Week 3</w:t>
            </w:r>
          </w:p>
        </w:tc>
      </w:tr>
      <w:tr>
        <w:tc>
          <w:tcPr>
            <w:tcW w:type="dxa" w:w="2196"/>
          </w:tcPr>
          <w:p>
            <w:r>
              <w:t>D5</w:t>
            </w:r>
          </w:p>
        </w:tc>
        <w:tc>
          <w:tcPr>
            <w:tcW w:type="dxa" w:w="2196"/>
          </w:tcPr>
          <w:p>
            <w:r>
              <w:t>UAT participants identified and availability confirmed</w:t>
            </w:r>
          </w:p>
        </w:tc>
        <w:tc>
          <w:tcPr>
            <w:tcW w:type="dxa" w:w="2196"/>
          </w:tcPr>
          <w:p>
            <w:r>
              <w:t>Customer</w:t>
            </w:r>
          </w:p>
        </w:tc>
        <w:tc>
          <w:tcPr>
            <w:tcW w:type="dxa" w:w="2196"/>
          </w:tcPr>
          <w:p>
            <w:r>
              <w:t>Week 10</w:t>
            </w:r>
          </w:p>
        </w:tc>
      </w:tr>
      <w:tr>
        <w:tc>
          <w:tcPr>
            <w:tcW w:type="dxa" w:w="2196"/>
          </w:tcPr>
          <w:p>
            <w:r>
              <w:t>D6</w:t>
            </w:r>
          </w:p>
        </w:tc>
        <w:tc>
          <w:tcPr>
            <w:tcW w:type="dxa" w:w="2196"/>
          </w:tcPr>
          <w:p>
            <w:r>
              <w:t>Access to existing Playwright framework codebase and CI/CD pipeline</w:t>
            </w:r>
          </w:p>
        </w:tc>
        <w:tc>
          <w:tcPr>
            <w:tcW w:type="dxa" w:w="2196"/>
          </w:tcPr>
          <w:p>
            <w:r>
              <w:t>Customer / Altimetrik</w:t>
            </w:r>
          </w:p>
        </w:tc>
        <w:tc>
          <w:tcPr>
            <w:tcW w:type="dxa" w:w="2196"/>
          </w:tcPr>
          <w:p>
            <w:r>
              <w:t>Week 1</w:t>
            </w:r>
          </w:p>
        </w:tc>
      </w:tr>
    </w:tbl>
    <w:p/>
    <w:p>
      <w:pPr>
        <w:pStyle w:val="Heading3"/>
      </w:pPr>
      <w:r>
        <w:rPr>
          <w:b/>
          <w:color w:val="1F497D"/>
          <w:sz w:val="26"/>
        </w:rPr>
        <w:t>Risks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fill="2E74B5" w:color="auto" w:val="clear"/>
          </w:tcPr>
          <w:p>
            <w:r>
              <w:rPr>
                <w:b/>
                <w:color w:val="FFFFFF"/>
              </w:rPr>
              <w:t>#</w:t>
            </w:r>
          </w:p>
        </w:tc>
        <w:tc>
          <w:tcPr>
            <w:tcW w:type="dxa" w:w="1757"/>
            <w:shd w:fill="2E74B5" w:color="auto" w:val="clear"/>
          </w:tcPr>
          <w:p>
            <w:r>
              <w:rPr>
                <w:b/>
                <w:color w:val="FFFFFF"/>
              </w:rPr>
              <w:t>Risk</w:t>
            </w:r>
          </w:p>
        </w:tc>
        <w:tc>
          <w:tcPr>
            <w:tcW w:type="dxa" w:w="1757"/>
            <w:shd w:fill="2E74B5" w:color="auto" w:val="clear"/>
          </w:tcPr>
          <w:p>
            <w:r>
              <w:rPr>
                <w:b/>
                <w:color w:val="FFFFFF"/>
              </w:rPr>
              <w:t>Likelihood</w:t>
            </w:r>
          </w:p>
        </w:tc>
        <w:tc>
          <w:tcPr>
            <w:tcW w:type="dxa" w:w="1757"/>
            <w:shd w:fill="2E74B5" w:color="auto" w:val="clear"/>
          </w:tcPr>
          <w:p>
            <w:r>
              <w:rPr>
                <w:b/>
                <w:color w:val="FFFFFF"/>
              </w:rPr>
              <w:t>Impact</w:t>
            </w:r>
          </w:p>
        </w:tc>
        <w:tc>
          <w:tcPr>
            <w:tcW w:type="dxa" w:w="1757"/>
            <w:shd w:fill="2E74B5" w:color="auto" w:val="clear"/>
          </w:tcPr>
          <w:p>
            <w:r>
              <w:rPr>
                <w:b/>
                <w:color w:val="FFFFFF"/>
              </w:rPr>
              <w:t>Mitigation</w:t>
            </w:r>
          </w:p>
        </w:tc>
      </w:tr>
      <w:tr>
        <w:tc>
          <w:tcPr>
            <w:tcW w:type="dxa" w:w="1757"/>
          </w:tcPr>
          <w:p>
            <w:r>
              <w:t>R1</w:t>
            </w:r>
          </w:p>
        </w:tc>
        <w:tc>
          <w:tcPr>
            <w:tcW w:type="dxa" w:w="1757"/>
          </w:tcPr>
          <w:p>
            <w:r>
              <w:t>Proton API does not support required operations (test run creation, attachment upload)</w:t>
            </w:r>
          </w:p>
        </w:tc>
        <w:tc>
          <w:tcPr>
            <w:tcW w:type="dxa" w:w="1757"/>
          </w:tcPr>
          <w:p>
            <w:r>
              <w:t>Low</w:t>
            </w:r>
          </w:p>
        </w:tc>
        <w:tc>
          <w:tcPr>
            <w:tcW w:type="dxa" w:w="1757"/>
          </w:tcPr>
          <w:p>
            <w:r>
              <w:t>High</w:t>
            </w:r>
          </w:p>
        </w:tc>
        <w:tc>
          <w:tcPr>
            <w:tcW w:type="dxa" w:w="1757"/>
          </w:tcPr>
          <w:p>
            <w:r>
              <w:t>Early API discovery in Week 1–2; escalate immediately if gaps identified</w:t>
            </w:r>
          </w:p>
        </w:tc>
      </w:tr>
      <w:tr>
        <w:tc>
          <w:tcPr>
            <w:tcW w:type="dxa" w:w="1757"/>
          </w:tcPr>
          <w:p>
            <w:r>
              <w:t>R2</w:t>
            </w:r>
          </w:p>
        </w:tc>
        <w:tc>
          <w:tcPr>
            <w:tcW w:type="dxa" w:w="1757"/>
          </w:tcPr>
          <w:p>
            <w:r>
              <w:t>Jira-to-Proton ID mapping is complex or requires custom logic</w:t>
            </w:r>
          </w:p>
        </w:tc>
        <w:tc>
          <w:tcPr>
            <w:tcW w:type="dxa" w:w="1757"/>
          </w:tcPr>
          <w:p>
            <w:r>
              <w:t>Medium</w:t>
            </w:r>
          </w:p>
        </w:tc>
        <w:tc>
          <w:tcPr>
            <w:tcW w:type="dxa" w:w="1757"/>
          </w:tcPr>
          <w:p>
            <w:r>
              <w:t>Medium</w:t>
            </w:r>
          </w:p>
        </w:tc>
        <w:tc>
          <w:tcPr>
            <w:tcW w:type="dxa" w:w="1757"/>
          </w:tcPr>
          <w:p>
            <w:r>
              <w:t>Allocate buffer in design phase; clarify mapping by Week 3</w:t>
            </w:r>
          </w:p>
        </w:tc>
      </w:tr>
      <w:tr>
        <w:tc>
          <w:tcPr>
            <w:tcW w:type="dxa" w:w="1757"/>
          </w:tcPr>
          <w:p>
            <w:r>
              <w:t>R3</w:t>
            </w:r>
          </w:p>
        </w:tc>
        <w:tc>
          <w:tcPr>
            <w:tcW w:type="dxa" w:w="1757"/>
          </w:tcPr>
          <w:p>
            <w:r>
              <w:t>Proton sandbox unavailable during development</w:t>
            </w:r>
          </w:p>
        </w:tc>
        <w:tc>
          <w:tcPr>
            <w:tcW w:type="dxa" w:w="1757"/>
          </w:tcPr>
          <w:p>
            <w:r>
              <w:t>Low</w:t>
            </w:r>
          </w:p>
        </w:tc>
        <w:tc>
          <w:tcPr>
            <w:tcW w:type="dxa" w:w="1757"/>
          </w:tcPr>
          <w:p>
            <w:r>
              <w:t>High</w:t>
            </w:r>
          </w:p>
        </w:tc>
        <w:tc>
          <w:tcPr>
            <w:tcW w:type="dxa" w:w="1757"/>
          </w:tcPr>
          <w:p>
            <w:r>
              <w:t>Confirm sandbox access before Week 4; raise as blocker if delayed</w:t>
            </w:r>
          </w:p>
        </w:tc>
      </w:tr>
      <w:tr>
        <w:tc>
          <w:tcPr>
            <w:tcW w:type="dxa" w:w="1757"/>
          </w:tcPr>
          <w:p>
            <w:r>
              <w:t>R4</w:t>
            </w:r>
          </w:p>
        </w:tc>
        <w:tc>
          <w:tcPr>
            <w:tcW w:type="dxa" w:w="1757"/>
          </w:tcPr>
          <w:p>
            <w:r>
              <w:t>UAT feedback requires significant rework beyond 10 days</w:t>
            </w:r>
          </w:p>
        </w:tc>
        <w:tc>
          <w:tcPr>
            <w:tcW w:type="dxa" w:w="1757"/>
          </w:tcPr>
          <w:p>
            <w:r>
              <w:t>Low</w:t>
            </w:r>
          </w:p>
        </w:tc>
        <w:tc>
          <w:tcPr>
            <w:tcW w:type="dxa" w:w="1757"/>
          </w:tcPr>
          <w:p>
            <w:r>
              <w:t>Medium</w:t>
            </w:r>
          </w:p>
        </w:tc>
        <w:tc>
          <w:tcPr>
            <w:tcW w:type="dxa" w:w="1757"/>
          </w:tcPr>
          <w:p>
            <w:r>
              <w:t>Early stakeholder alignment on acceptance criteria before UAT begins</w:t>
            </w:r>
          </w:p>
        </w:tc>
      </w:tr>
    </w:tbl>
    <w:p/>
    <w:p>
      <w:pPr>
        <w:pStyle w:val="Heading2"/>
      </w:pPr>
      <w:r>
        <w:rPr>
          <w:b/>
          <w:color w:val="2E74B5"/>
          <w:sz w:val="32"/>
        </w:rPr>
        <w:t>Acceptance</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fill="2E74B5" w:color="auto" w:val="clear"/>
          </w:tcPr>
          <w:p>
            <w:r>
              <w:rPr>
                <w:b/>
                <w:color w:val="FFFFFF"/>
              </w:rPr>
              <w:t>Role</w:t>
            </w:r>
          </w:p>
        </w:tc>
        <w:tc>
          <w:tcPr>
            <w:tcW w:type="dxa" w:w="2196"/>
            <w:shd w:fill="2E74B5" w:color="auto" w:val="clear"/>
          </w:tcPr>
          <w:p>
            <w:r>
              <w:rPr>
                <w:b/>
                <w:color w:val="FFFFFF"/>
              </w:rPr>
              <w:t>Name</w:t>
            </w:r>
          </w:p>
        </w:tc>
        <w:tc>
          <w:tcPr>
            <w:tcW w:type="dxa" w:w="2196"/>
            <w:shd w:fill="2E74B5" w:color="auto" w:val="clear"/>
          </w:tcPr>
          <w:p>
            <w:r>
              <w:rPr>
                <w:b/>
                <w:color w:val="FFFFFF"/>
              </w:rPr>
              <w:t>Signature</w:t>
            </w:r>
          </w:p>
        </w:tc>
        <w:tc>
          <w:tcPr>
            <w:tcW w:type="dxa" w:w="2196"/>
            <w:shd w:fill="2E74B5" w:color="auto" w:val="clear"/>
          </w:tcPr>
          <w:p>
            <w:r>
              <w:rPr>
                <w:b/>
                <w:color w:val="FFFFFF"/>
              </w:rPr>
              <w:t>Date</w:t>
            </w:r>
          </w:p>
        </w:tc>
      </w:tr>
      <w:tr>
        <w:tc>
          <w:tcPr>
            <w:tcW w:type="dxa" w:w="2196"/>
          </w:tcPr>
          <w:p>
            <w:r>
              <w:t>Prepared by (Altimetrik)</w:t>
            </w:r>
          </w:p>
        </w:tc>
        <w:tc>
          <w:tcPr>
            <w:tcW w:type="dxa" w:w="2196"/>
          </w:tcPr>
          <w:p>
            <w:r/>
          </w:p>
        </w:tc>
        <w:tc>
          <w:tcPr>
            <w:tcW w:type="dxa" w:w="2196"/>
          </w:tcPr>
          <w:p>
            <w:r/>
          </w:p>
        </w:tc>
        <w:tc>
          <w:tcPr>
            <w:tcW w:type="dxa" w:w="2196"/>
          </w:tcPr>
          <w:p>
            <w:r/>
          </w:p>
        </w:tc>
      </w:tr>
      <w:tr>
        <w:tc>
          <w:tcPr>
            <w:tcW w:type="dxa" w:w="2196"/>
          </w:tcPr>
          <w:p>
            <w:r>
              <w:t>Approved by (Customer)</w:t>
            </w:r>
          </w:p>
        </w:tc>
        <w:tc>
          <w:tcPr>
            <w:tcW w:type="dxa" w:w="2196"/>
          </w:tcPr>
          <w:p>
            <w:r/>
          </w:p>
        </w:tc>
        <w:tc>
          <w:tcPr>
            <w:tcW w:type="dxa" w:w="2196"/>
          </w:tcPr>
          <w:p>
            <w:r/>
          </w:p>
        </w:tc>
        <w:tc>
          <w:tcPr>
            <w:tcW w:type="dxa" w:w="2196"/>
          </w:tcPr>
          <w:p>
            <w:r/>
          </w:p>
        </w:tc>
      </w:tr>
    </w:tbl>
    <w:p/>
    <w:p>
      <w:r>
        <w:t>*This proposal is valid for 30 days from the date of issue.*</w:t>
      </w:r>
    </w:p>
    <w:p>
      <w:r>
        <w:t>*All costs are in CHF and exclusive of applicable taxes unless otherwise stated.*</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