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48A5" w14:textId="77777777" w:rsidR="00405463" w:rsidRPr="00FF15D6" w:rsidRDefault="00000000">
      <w:pPr>
        <w:pStyle w:val="Ttulo"/>
        <w:jc w:val="center"/>
        <w:rPr>
          <w:lang w:val="pt-BR"/>
        </w:rPr>
      </w:pPr>
      <w:r w:rsidRPr="00FF15D6">
        <w:rPr>
          <w:lang w:val="pt-BR"/>
        </w:rPr>
        <w:t>Nota Técnica — Indicadores de Densidade de Malha Rodoviária</w:t>
      </w:r>
    </w:p>
    <w:p w14:paraId="7B01DDF2" w14:textId="77777777" w:rsidR="00405463" w:rsidRPr="00FF15D6" w:rsidRDefault="00000000">
      <w:pPr>
        <w:jc w:val="center"/>
        <w:rPr>
          <w:lang w:val="pt-BR"/>
        </w:rPr>
      </w:pPr>
      <w:r w:rsidRPr="00FF15D6">
        <w:rPr>
          <w:lang w:val="pt-BR"/>
        </w:rPr>
        <w:t>Estado de São Paulo | Escala municipal, Regiões Geográficas Imediatas e Intermediárias (IBGE)</w:t>
      </w:r>
    </w:p>
    <w:p w14:paraId="11AC7E6F" w14:textId="77777777" w:rsidR="00405463" w:rsidRPr="00FF15D6" w:rsidRDefault="00000000">
      <w:pPr>
        <w:jc w:val="center"/>
        <w:rPr>
          <w:lang w:val="pt-BR"/>
        </w:rPr>
      </w:pPr>
      <w:r w:rsidRPr="00FF15D6">
        <w:rPr>
          <w:lang w:val="pt-BR"/>
        </w:rPr>
        <w:t>Data: 08/01/2026</w:t>
      </w:r>
    </w:p>
    <w:p w14:paraId="217B22FF" w14:textId="77777777" w:rsidR="00405463" w:rsidRPr="00FF15D6" w:rsidRDefault="00000000">
      <w:pPr>
        <w:rPr>
          <w:lang w:val="pt-BR"/>
        </w:rPr>
      </w:pPr>
      <w:r w:rsidRPr="00FF15D6">
        <w:rPr>
          <w:lang w:val="pt-BR"/>
        </w:rPr>
        <w:br w:type="page"/>
      </w:r>
    </w:p>
    <w:p w14:paraId="0BFA4CBC" w14:textId="77777777" w:rsidR="00405463" w:rsidRPr="00FF15D6" w:rsidRDefault="00000000" w:rsidP="00FF15D6">
      <w:pPr>
        <w:pStyle w:val="Ttulo1"/>
        <w:jc w:val="both"/>
        <w:rPr>
          <w:lang w:val="pt-BR"/>
        </w:rPr>
      </w:pPr>
      <w:r w:rsidRPr="00FF15D6">
        <w:rPr>
          <w:lang w:val="pt-BR"/>
        </w:rPr>
        <w:lastRenderedPageBreak/>
        <w:t>1. Introdução</w:t>
      </w:r>
    </w:p>
    <w:p w14:paraId="1C5E6F56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O Estado de São Paulo concentra a maior dinâmica econômica do país e desempenha papel central na logística nacional, com elevada circulação de pessoas e cargas e forte integração entre áreas metropolitanas, polos regionais e fronteiras interestaduais. Nesse contexto, a infraestrutura rodoviária é determinante para competitividade, segurança viária, acesso a serviços e coesão territorial.</w:t>
      </w:r>
    </w:p>
    <w:p w14:paraId="6DE20211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Esta nota técnica apresenta indicadores de densidade de malha rodoviária para apoiar o diagnóstico territorial e a priorização de diretrizes, programas e projetos no Plano de Logística e Investimentos (PLI). Os resultados são apresentados prioritariamente na escala municipal — recorte mais aderente à identificação de disparidades intrarregionais e à estruturação de carteiras de intervenção — e, de forma complementar, por Regiões Geográficas Imediatas e Intermediárias (IBGE).</w:t>
      </w:r>
    </w:p>
    <w:p w14:paraId="12763F7D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 xml:space="preserve">O foco deste material é responder, de forma objetiva e </w:t>
      </w:r>
      <w:proofErr w:type="spellStart"/>
      <w:r w:rsidRPr="00FF15D6">
        <w:rPr>
          <w:lang w:val="pt-BR"/>
        </w:rPr>
        <w:t>territorializada</w:t>
      </w:r>
      <w:proofErr w:type="spellEnd"/>
      <w:r w:rsidRPr="00FF15D6">
        <w:rPr>
          <w:lang w:val="pt-BR"/>
        </w:rPr>
        <w:t>, a perguntas como: onde a infraestrutura está mais concentrada; onde a cobertura territorial é relativamente baixa; e onde a disponibilidade por habitante é menor. Esses indicadores funcionam como ferramenta de triagem e priorização: apontam onde vale aprofundar estudos, organizar programas e refinar critérios de seleção de projetos no PLI.</w:t>
      </w:r>
    </w:p>
    <w:p w14:paraId="5D6E54E2" w14:textId="77777777" w:rsidR="00405463" w:rsidRPr="00FF15D6" w:rsidRDefault="00000000" w:rsidP="00FF15D6">
      <w:pPr>
        <w:pStyle w:val="Ttulo1"/>
        <w:jc w:val="both"/>
        <w:rPr>
          <w:lang w:val="pt-BR"/>
        </w:rPr>
      </w:pPr>
      <w:r w:rsidRPr="00FF15D6">
        <w:rPr>
          <w:lang w:val="pt-BR"/>
        </w:rPr>
        <w:t>2. Objetivos</w:t>
      </w:r>
    </w:p>
    <w:p w14:paraId="6CBB3DF6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Para responder às perguntas apresentadas na introdução, foram delineados os seguintes objetivos: (i) caracterizar a distribuição espacial da malha rodoviária no território paulista; (</w:t>
      </w:r>
      <w:proofErr w:type="spellStart"/>
      <w:r w:rsidRPr="00FF15D6">
        <w:rPr>
          <w:lang w:val="pt-BR"/>
        </w:rPr>
        <w:t>ii</w:t>
      </w:r>
      <w:proofErr w:type="spellEnd"/>
      <w:r w:rsidRPr="00FF15D6">
        <w:rPr>
          <w:lang w:val="pt-BR"/>
        </w:rPr>
        <w:t>) quantificar a extensão da infraestrutura e sua densidade em relação à área e à população; (</w:t>
      </w:r>
      <w:proofErr w:type="spellStart"/>
      <w:r w:rsidRPr="00FF15D6">
        <w:rPr>
          <w:lang w:val="pt-BR"/>
        </w:rPr>
        <w:t>iii</w:t>
      </w:r>
      <w:proofErr w:type="spellEnd"/>
      <w:r w:rsidRPr="00FF15D6">
        <w:rPr>
          <w:lang w:val="pt-BR"/>
        </w:rPr>
        <w:t>) comparar padrões territoriais associados a concessões, hierarquia funcional e contexto urbano-rural; e (</w:t>
      </w:r>
      <w:proofErr w:type="spellStart"/>
      <w:r w:rsidRPr="00FF15D6">
        <w:rPr>
          <w:lang w:val="pt-BR"/>
        </w:rPr>
        <w:t>iv</w:t>
      </w:r>
      <w:proofErr w:type="spellEnd"/>
      <w:r w:rsidRPr="00FF15D6">
        <w:rPr>
          <w:lang w:val="pt-BR"/>
        </w:rPr>
        <w:t>) evidenciar disparidades municipais e regionais que orientem critérios territoriais de priorização e a seleção de temas e projetos no PLI.</w:t>
      </w:r>
    </w:p>
    <w:p w14:paraId="6644FABB" w14:textId="77777777" w:rsidR="00405463" w:rsidRPr="00FF15D6" w:rsidRDefault="00000000" w:rsidP="00FF15D6">
      <w:pPr>
        <w:pStyle w:val="Ttulo1"/>
        <w:jc w:val="both"/>
        <w:rPr>
          <w:lang w:val="pt-BR"/>
        </w:rPr>
      </w:pPr>
      <w:r w:rsidRPr="00FF15D6">
        <w:rPr>
          <w:lang w:val="pt-BR"/>
        </w:rPr>
        <w:t>3. Dados e metodologia (síntese)</w:t>
      </w:r>
    </w:p>
    <w:p w14:paraId="7F53B537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Foram integradas bases vetoriais e estatísticas de fontes oficiais. A malha rodoviária foi tratada a partir de base vetorial do DER/SP, com agregação da extensão de trechos por unidade territorial. As unidades de análise territorial (municípios, Regiões Geográficas Imediatas e Intermediárias) foram obtidas do IBGE; a população municipal foi incorporada a partir do Censo 2022.</w:t>
      </w:r>
    </w:p>
    <w:p w14:paraId="495C04A7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Para apoiar leituras urbano-rurais, a classificação de trechos considera a proporção de cada segmento em áreas urbanizadas do IBGE, com categorias urbano, misto e rural. Os indicadores centrais são calculados como: (i) extensão total; (</w:t>
      </w:r>
      <w:proofErr w:type="spellStart"/>
      <w:r w:rsidRPr="00FF15D6">
        <w:rPr>
          <w:lang w:val="pt-BR"/>
        </w:rPr>
        <w:t>ii</w:t>
      </w:r>
      <w:proofErr w:type="spellEnd"/>
      <w:r w:rsidRPr="00FF15D6">
        <w:rPr>
          <w:lang w:val="pt-BR"/>
        </w:rPr>
        <w:t>) densidade por área (km/km²); e (</w:t>
      </w:r>
      <w:proofErr w:type="spellStart"/>
      <w:r w:rsidRPr="00FF15D6">
        <w:rPr>
          <w:lang w:val="pt-BR"/>
        </w:rPr>
        <w:t>iii</w:t>
      </w:r>
      <w:proofErr w:type="spellEnd"/>
      <w:r w:rsidRPr="00FF15D6">
        <w:rPr>
          <w:lang w:val="pt-BR"/>
        </w:rPr>
        <w:t>) densidade por população (km/1000 habitantes).</w:t>
      </w:r>
    </w:p>
    <w:p w14:paraId="6A2B564E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O detalhamento metodológico (regras de classificação, projeções e controles de qualidade) encontra-se no Anexo A.</w:t>
      </w:r>
    </w:p>
    <w:p w14:paraId="1B9ACDCC" w14:textId="77777777" w:rsidR="00405463" w:rsidRPr="00FF15D6" w:rsidRDefault="00000000" w:rsidP="00FF15D6">
      <w:pPr>
        <w:pStyle w:val="Ttulo1"/>
        <w:jc w:val="both"/>
        <w:rPr>
          <w:lang w:val="pt-BR"/>
        </w:rPr>
      </w:pPr>
      <w:r w:rsidRPr="00FF15D6">
        <w:rPr>
          <w:lang w:val="pt-BR"/>
        </w:rPr>
        <w:lastRenderedPageBreak/>
        <w:t>4. Resultados</w:t>
      </w:r>
    </w:p>
    <w:p w14:paraId="1CD5CE53" w14:textId="77777777" w:rsidR="00405463" w:rsidRPr="00FF15D6" w:rsidRDefault="00000000" w:rsidP="00FF15D6">
      <w:pPr>
        <w:pStyle w:val="Ttulo2"/>
        <w:jc w:val="both"/>
        <w:rPr>
          <w:lang w:val="pt-BR"/>
        </w:rPr>
      </w:pPr>
      <w:r w:rsidRPr="00FF15D6">
        <w:rPr>
          <w:lang w:val="pt-BR"/>
        </w:rPr>
        <w:t>4.1 Visão geral (Estado de São Paulo)</w:t>
      </w:r>
    </w:p>
    <w:p w14:paraId="5158F701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Na visão agregada do estado (soma das unidades municipais), obtêm-se os seguintes parâmetros de referência para diagnóstico e monitoramento: área territorial aproximada de 248.219 km², população de 46.024.937 habitantes (Censo 2022) e extensão total de rodovias de 21.587 km. A partir desses totais, a densidade estadual por área é de 0,0870 km/km² e a densidade por população é de 0,469 km/1000 hab.</w:t>
      </w:r>
    </w:p>
    <w:p w14:paraId="5D08CBAF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Esses valores médios estaduais servem como referência de comparação. A análise municipal a seguir permite identificar onde a infraestrutura está concentrada, onde é relativamente escassa frente ao território e onde há maior pressão populacional sobre a rede, fornecendo evidência para critérios territoriais no PLI.</w:t>
      </w:r>
    </w:p>
    <w:p w14:paraId="357AEF1D" w14:textId="77777777" w:rsidR="00405463" w:rsidRPr="00FF15D6" w:rsidRDefault="00000000" w:rsidP="00FF15D6">
      <w:pPr>
        <w:pStyle w:val="Ttulo2"/>
        <w:jc w:val="both"/>
        <w:rPr>
          <w:lang w:val="pt-BR"/>
        </w:rPr>
      </w:pPr>
      <w:r w:rsidRPr="00FF15D6">
        <w:rPr>
          <w:lang w:val="pt-BR"/>
        </w:rPr>
        <w:t>4.2 Indicadores (escala municipal)</w:t>
      </w:r>
    </w:p>
    <w:p w14:paraId="4833ECA6" w14:textId="77777777" w:rsidR="00405463" w:rsidRPr="00FF15D6" w:rsidRDefault="00000000" w:rsidP="00FF15D6">
      <w:pPr>
        <w:pStyle w:val="Ttulo3"/>
        <w:jc w:val="both"/>
        <w:rPr>
          <w:lang w:val="pt-BR"/>
        </w:rPr>
      </w:pPr>
      <w:r w:rsidRPr="00FF15D6">
        <w:rPr>
          <w:lang w:val="pt-BR"/>
        </w:rPr>
        <w:t>4.2.1 Extensão total de rodovias</w:t>
      </w:r>
    </w:p>
    <w:p w14:paraId="0B0A703A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Definição e interpretação. Mede a quantidade absoluta de infraestrutura rodoviária no município. É um indicador de porte/volume de rede e tende a ser maior em municípios extensos e/ou com maior número de eixos estruturantes.</w:t>
      </w:r>
    </w:p>
    <w:p w14:paraId="2A802555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Aplicação no PLI. O indicador apoia: (i) diagnóstico e comunicação de disparidades territoriais; (</w:t>
      </w:r>
      <w:proofErr w:type="spellStart"/>
      <w:r w:rsidRPr="00FF15D6">
        <w:rPr>
          <w:lang w:val="pt-BR"/>
        </w:rPr>
        <w:t>ii</w:t>
      </w:r>
      <w:proofErr w:type="spellEnd"/>
      <w:r w:rsidRPr="00FF15D6">
        <w:rPr>
          <w:lang w:val="pt-BR"/>
        </w:rPr>
        <w:t>) priorização de aprofundamentos (demanda, capacidade, segurança viária, logística, conectividade e manutenção); e (</w:t>
      </w:r>
      <w:proofErr w:type="spellStart"/>
      <w:r w:rsidRPr="00FF15D6">
        <w:rPr>
          <w:lang w:val="pt-BR"/>
        </w:rPr>
        <w:t>iii</w:t>
      </w:r>
      <w:proofErr w:type="spellEnd"/>
      <w:r w:rsidRPr="00FF15D6">
        <w:rPr>
          <w:lang w:val="pt-BR"/>
        </w:rPr>
        <w:t>) definição de indicadores de acompanhamento. No PLI, recomenda-se seu uso no capítulo de caracterização do modal rodoviário (diagnóstico), na formulação de diretrizes e programas (critérios territoriais de priorização) e no monitoramento de resultados da carteira de projetos.</w:t>
      </w:r>
    </w:p>
    <w:p w14:paraId="1124F391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Equação/definição operacional do indicador:</w:t>
      </w:r>
    </w:p>
    <w:p w14:paraId="51A0B24E" w14:textId="77777777" w:rsidR="00405463" w:rsidRPr="00FF15D6" w:rsidRDefault="00000000" w:rsidP="00FF15D6">
      <w:pPr>
        <w:jc w:val="both"/>
        <w:rPr>
          <w:lang w:val="pt-BR"/>
        </w:rPr>
      </w:pPr>
      <w:r w:rsidRPr="00FF15D6">
        <w:rPr>
          <w:i/>
          <w:lang w:val="pt-BR"/>
        </w:rPr>
        <w:t xml:space="preserve">Extensão total (km) = </w:t>
      </w:r>
      <w:r>
        <w:rPr>
          <w:i/>
        </w:rPr>
        <w:t>Σ</w:t>
      </w:r>
      <w:r w:rsidRPr="00FF15D6">
        <w:rPr>
          <w:i/>
          <w:lang w:val="pt-BR"/>
        </w:rPr>
        <w:t xml:space="preserve"> extensão dos trechos na unidade territorial</w:t>
      </w:r>
    </w:p>
    <w:p w14:paraId="1CE52FC2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Top 10 municípios (maiores valores): Piracicaba (196,1 km); Campinas (186,3 km); Itapetininga (183,6 km); Ribeirão Preto (158,7 km); São Paulo (155,2 km); Mogi das Cruzes (146,7 km); Mogi Guaçu (140,0 km); Marília (136,6 km); Itu (136,4 km); Botucatu (132,7 km).</w:t>
      </w:r>
    </w:p>
    <w:p w14:paraId="1F65DBA7" w14:textId="77777777" w:rsidR="00405463" w:rsidRPr="00FF15D6" w:rsidRDefault="00000000" w:rsidP="00FF15D6">
      <w:pPr>
        <w:spacing w:after="85"/>
        <w:jc w:val="both"/>
        <w:rPr>
          <w:lang w:val="pt-BR"/>
        </w:rPr>
      </w:pPr>
      <w:proofErr w:type="spellStart"/>
      <w:r w:rsidRPr="00FF15D6">
        <w:rPr>
          <w:lang w:val="pt-BR"/>
        </w:rPr>
        <w:t>Bottom</w:t>
      </w:r>
      <w:proofErr w:type="spellEnd"/>
      <w:r w:rsidRPr="00FF15D6">
        <w:rPr>
          <w:lang w:val="pt-BR"/>
        </w:rPr>
        <w:t xml:space="preserve"> 10 municípios (menores valores): Nova Campina (0,0 km); Nova Castilho (0,0 km); Ferraz de Vasconcelos (0,0 km); </w:t>
      </w:r>
      <w:proofErr w:type="spellStart"/>
      <w:r w:rsidRPr="00FF15D6">
        <w:rPr>
          <w:lang w:val="pt-BR"/>
        </w:rPr>
        <w:t>Motuca</w:t>
      </w:r>
      <w:proofErr w:type="spellEnd"/>
      <w:r w:rsidRPr="00FF15D6">
        <w:rPr>
          <w:lang w:val="pt-BR"/>
        </w:rPr>
        <w:t xml:space="preserve"> (0,0 km); Pracinha (0,0 km); Marapoama (0,0 km); São Luiz do Paraitinga (0,0 km); Embaúba (0,0 km); São João de Iracema (0,0 km); São Caetano do Sul (0,0 km).</w:t>
      </w:r>
    </w:p>
    <w:p w14:paraId="21A855A9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 xml:space="preserve">Comentário técnico. A extensão total é um indicador de porte absoluto de rede: municípios com maior malha tendem a concentrar eixos estruturantes e maior conectividade territorial. Já os menores valores — inclusive valores nulos — indicam ausência de trechos na base considerada para aqueles municípios (o que pode refletir municípios de pequena área e/ou limitações de cobertura para vias municipais). Para o PLI, o achado reforça a necessidade de tratar conjuntamente a rede estadual e as conexões municipais/locais, </w:t>
      </w:r>
      <w:r w:rsidRPr="00FF15D6">
        <w:rPr>
          <w:lang w:val="pt-BR"/>
        </w:rPr>
        <w:lastRenderedPageBreak/>
        <w:t>especialmente quando o objetivo é garantir acessibilidade territorial e integração de cadeias logísticas.</w:t>
      </w:r>
    </w:p>
    <w:p w14:paraId="51EAEC84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Direcionamentos para o PLI. Recomenda-se: fortalecer programas de melhoria e manutenção de ligações locais que alimentam eixos regionais; priorizar intervenções de conectividade (acessos, travessias e ligações a polos de serviços e equipamentos logísticos); e qualificar a base de dados municipal (ex.: integração com Rotas Rurais) para reduzir incertezas de diagnóstico em áreas rurais.</w:t>
      </w:r>
    </w:p>
    <w:p w14:paraId="3C805FAA" w14:textId="77777777" w:rsidR="00405463" w:rsidRDefault="00000000">
      <w:r>
        <w:rPr>
          <w:noProof/>
        </w:rPr>
        <w:drawing>
          <wp:inline distT="0" distB="0" distL="0" distR="0" wp14:anchorId="3AD239A3" wp14:editId="2DF9F59D">
            <wp:extent cx="5940000" cy="3390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_total_top_botto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E330" w14:textId="77777777" w:rsidR="00405463" w:rsidRPr="00FF15D6" w:rsidRDefault="00000000">
      <w:pPr>
        <w:jc w:val="center"/>
        <w:rPr>
          <w:lang w:val="pt-BR"/>
        </w:rPr>
      </w:pPr>
      <w:r w:rsidRPr="00FF15D6">
        <w:rPr>
          <w:lang w:val="pt-BR"/>
        </w:rPr>
        <w:t xml:space="preserve">Figura 1. Top 10 e </w:t>
      </w:r>
      <w:proofErr w:type="spellStart"/>
      <w:r w:rsidRPr="00FF15D6">
        <w:rPr>
          <w:lang w:val="pt-BR"/>
        </w:rPr>
        <w:t>Bottom</w:t>
      </w:r>
      <w:proofErr w:type="spellEnd"/>
      <w:r w:rsidRPr="00FF15D6">
        <w:rPr>
          <w:lang w:val="pt-BR"/>
        </w:rPr>
        <w:t xml:space="preserve"> 10 municípios — Extensão total de rodovias.</w:t>
      </w:r>
    </w:p>
    <w:p w14:paraId="52326787" w14:textId="77777777" w:rsidR="00405463" w:rsidRDefault="00000000">
      <w:r>
        <w:rPr>
          <w:noProof/>
        </w:rPr>
        <w:lastRenderedPageBreak/>
        <w:drawing>
          <wp:inline distT="0" distB="0" distL="0" distR="0" wp14:anchorId="695041E1" wp14:editId="46FC3745">
            <wp:extent cx="5940000" cy="46130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_total_map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1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7DA2" w14:textId="77777777" w:rsidR="00405463" w:rsidRPr="00FF15D6" w:rsidRDefault="00000000" w:rsidP="00FF15D6">
      <w:pPr>
        <w:jc w:val="both"/>
        <w:rPr>
          <w:lang w:val="pt-BR"/>
        </w:rPr>
      </w:pPr>
      <w:r w:rsidRPr="00FF15D6">
        <w:rPr>
          <w:lang w:val="pt-BR"/>
        </w:rPr>
        <w:t xml:space="preserve">Figura 11. Mapa </w:t>
      </w:r>
      <w:proofErr w:type="spellStart"/>
      <w:r w:rsidRPr="00FF15D6">
        <w:rPr>
          <w:lang w:val="pt-BR"/>
        </w:rPr>
        <w:t>coroplético</w:t>
      </w:r>
      <w:proofErr w:type="spellEnd"/>
      <w:r w:rsidRPr="00FF15D6">
        <w:rPr>
          <w:lang w:val="pt-BR"/>
        </w:rPr>
        <w:t xml:space="preserve"> municipal — Extensão total de rodovias.</w:t>
      </w:r>
    </w:p>
    <w:p w14:paraId="777296A6" w14:textId="77777777" w:rsidR="00405463" w:rsidRPr="00FF15D6" w:rsidRDefault="00000000" w:rsidP="00FF15D6">
      <w:pPr>
        <w:pStyle w:val="Ttulo3"/>
        <w:jc w:val="both"/>
        <w:rPr>
          <w:lang w:val="pt-BR"/>
        </w:rPr>
      </w:pPr>
      <w:r w:rsidRPr="00FF15D6">
        <w:rPr>
          <w:lang w:val="pt-BR"/>
        </w:rPr>
        <w:t>4.2.2 Densidade de malha por área</w:t>
      </w:r>
    </w:p>
    <w:p w14:paraId="020A669A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Definição e interpretação. Indica a cobertura territorial da infraestrutura. Valores maiores sugerem maior capilaridade/serviço por área; valores baixos podem sinalizar potenciais gargalos de cobertura territorial, dependendo do contexto físico e socioeconômico.</w:t>
      </w:r>
    </w:p>
    <w:p w14:paraId="640EE501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Aplicação no PLI. O indicador apoia: (i) diagnóstico e comunicação de disparidades territoriais; (</w:t>
      </w:r>
      <w:proofErr w:type="spellStart"/>
      <w:r w:rsidRPr="00FF15D6">
        <w:rPr>
          <w:lang w:val="pt-BR"/>
        </w:rPr>
        <w:t>ii</w:t>
      </w:r>
      <w:proofErr w:type="spellEnd"/>
      <w:r w:rsidRPr="00FF15D6">
        <w:rPr>
          <w:lang w:val="pt-BR"/>
        </w:rPr>
        <w:t>) priorização de aprofundamentos (demanda, capacidade, segurança viária, logística, conectividade e manutenção); e (</w:t>
      </w:r>
      <w:proofErr w:type="spellStart"/>
      <w:r w:rsidRPr="00FF15D6">
        <w:rPr>
          <w:lang w:val="pt-BR"/>
        </w:rPr>
        <w:t>iii</w:t>
      </w:r>
      <w:proofErr w:type="spellEnd"/>
      <w:r w:rsidRPr="00FF15D6">
        <w:rPr>
          <w:lang w:val="pt-BR"/>
        </w:rPr>
        <w:t>) definição de indicadores de acompanhamento. No PLI, recomenda-se seu uso no capítulo de caracterização do modal rodoviário (diagnóstico), na formulação de diretrizes e programas (critérios territoriais de priorização) e no monitoramento de resultados da carteira de projetos.</w:t>
      </w:r>
    </w:p>
    <w:p w14:paraId="2A744703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Equação/definição operacional do indicador:</w:t>
      </w:r>
    </w:p>
    <w:p w14:paraId="49D4FAEE" w14:textId="77777777" w:rsidR="00405463" w:rsidRPr="00FF15D6" w:rsidRDefault="00000000" w:rsidP="00FF15D6">
      <w:pPr>
        <w:jc w:val="both"/>
        <w:rPr>
          <w:lang w:val="pt-BR"/>
        </w:rPr>
      </w:pPr>
      <w:r w:rsidRPr="00FF15D6">
        <w:rPr>
          <w:i/>
          <w:lang w:val="pt-BR"/>
        </w:rPr>
        <w:t>Densidade por área (km/km²) = Extensão total (km) / Área (km²)</w:t>
      </w:r>
    </w:p>
    <w:p w14:paraId="0AAB692F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 xml:space="preserve">Top 10 municípios (maiores valores): Águas de São Pedro (1,352 km/km²); Diadema (0,579 km/km²); Ribeirão Pires (0,479 km/km²); Barueri (0,467 km/km²); Jandira (0,454 </w:t>
      </w:r>
      <w:r w:rsidRPr="00FF15D6">
        <w:rPr>
          <w:lang w:val="pt-BR"/>
        </w:rPr>
        <w:lastRenderedPageBreak/>
        <w:t>km/km²); Itaquaquecetuba (0,452 km/km²); Cubatão (0,438 km/km²); Poá (0,423 km/km²); Lindóia (0,389 km/km²); Santo Antônio do Pinhal (0,381 km/km²).</w:t>
      </w:r>
    </w:p>
    <w:p w14:paraId="6CEEF90D" w14:textId="77777777" w:rsidR="00405463" w:rsidRPr="00FF15D6" w:rsidRDefault="00000000" w:rsidP="00FF15D6">
      <w:pPr>
        <w:spacing w:after="85"/>
        <w:jc w:val="both"/>
        <w:rPr>
          <w:lang w:val="pt-BR"/>
        </w:rPr>
      </w:pPr>
      <w:proofErr w:type="spellStart"/>
      <w:r w:rsidRPr="00FF15D6">
        <w:rPr>
          <w:lang w:val="pt-BR"/>
        </w:rPr>
        <w:t>Bottom</w:t>
      </w:r>
      <w:proofErr w:type="spellEnd"/>
      <w:r w:rsidRPr="00FF15D6">
        <w:rPr>
          <w:lang w:val="pt-BR"/>
        </w:rPr>
        <w:t xml:space="preserve"> 10 municípios (menores valores): Nova Campina (0,000 km/km²); Nova Castilho (0,000 km/km²); Ferraz de Vasconcelos (0,000 km/km²); </w:t>
      </w:r>
      <w:proofErr w:type="spellStart"/>
      <w:r w:rsidRPr="00FF15D6">
        <w:rPr>
          <w:lang w:val="pt-BR"/>
        </w:rPr>
        <w:t>Motuca</w:t>
      </w:r>
      <w:proofErr w:type="spellEnd"/>
      <w:r w:rsidRPr="00FF15D6">
        <w:rPr>
          <w:lang w:val="pt-BR"/>
        </w:rPr>
        <w:t xml:space="preserve"> (0,000 km/km²); Pracinha (0,000 km/km²); Marapoama (0,000 km/km²); São Luiz do Paraitinga (0,000 km/km²); Embaúba (0,000 km/km²); São João de Iracema (0,000 km/km²); São Caetano do Sul (0,000 km/km²).</w:t>
      </w:r>
    </w:p>
    <w:p w14:paraId="26D564C8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Comentário técnico. A densidade por área traduz capilaridade territorial: valores elevados sugerem maior cobertura por km², enquanto valores baixos podem sinalizar menor cobertura territorial (potenciais lacunas de acessibilidade), condicionadas por relevo, uso do solo e padrão de urbanização. A comparação Top/</w:t>
      </w:r>
      <w:proofErr w:type="spellStart"/>
      <w:r w:rsidRPr="00FF15D6">
        <w:rPr>
          <w:lang w:val="pt-BR"/>
        </w:rPr>
        <w:t>Bottom</w:t>
      </w:r>
      <w:proofErr w:type="spellEnd"/>
      <w:r w:rsidRPr="00FF15D6">
        <w:rPr>
          <w:lang w:val="pt-BR"/>
        </w:rPr>
        <w:t xml:space="preserve"> evidencia o contraste entre municípios pequenos e densamente servidos e municípios extensos com rede mais rarefeita.</w:t>
      </w:r>
    </w:p>
    <w:p w14:paraId="63880646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Direcionamentos para o PLI. O indicador pode orientar critérios territoriais de priorização: selecionar áreas com densidade baixa para aprofundar análises de conectividade e acesso a serviços; orientar investimentos em ligações estratégicas (corredores de integração regional, rotas de escoamento e acessos a equipamentos logísticos) e estruturar metas/indicadores de cobertura territorial em recortes específicos, quando aplicável.</w:t>
      </w:r>
    </w:p>
    <w:p w14:paraId="74659F6A" w14:textId="77777777" w:rsidR="00405463" w:rsidRDefault="00000000">
      <w:r>
        <w:rPr>
          <w:noProof/>
        </w:rPr>
        <w:drawing>
          <wp:inline distT="0" distB="0" distL="0" distR="0" wp14:anchorId="54E1266F" wp14:editId="5C8C5E64">
            <wp:extent cx="5940000" cy="32682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s_area_top_botto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AC9A" w14:textId="77777777" w:rsidR="00405463" w:rsidRPr="00FF15D6" w:rsidRDefault="00000000">
      <w:pPr>
        <w:jc w:val="center"/>
        <w:rPr>
          <w:lang w:val="pt-BR"/>
        </w:rPr>
      </w:pPr>
      <w:r w:rsidRPr="00FF15D6">
        <w:rPr>
          <w:lang w:val="pt-BR"/>
        </w:rPr>
        <w:t xml:space="preserve">Figura 2. Top 10 e </w:t>
      </w:r>
      <w:proofErr w:type="spellStart"/>
      <w:r w:rsidRPr="00FF15D6">
        <w:rPr>
          <w:lang w:val="pt-BR"/>
        </w:rPr>
        <w:t>Bottom</w:t>
      </w:r>
      <w:proofErr w:type="spellEnd"/>
      <w:r w:rsidRPr="00FF15D6">
        <w:rPr>
          <w:lang w:val="pt-BR"/>
        </w:rPr>
        <w:t xml:space="preserve"> 10 municípios — Densidade de malha por área.</w:t>
      </w:r>
    </w:p>
    <w:p w14:paraId="4A677CF7" w14:textId="77777777" w:rsidR="00405463" w:rsidRDefault="00000000">
      <w:r>
        <w:rPr>
          <w:noProof/>
        </w:rPr>
        <w:lastRenderedPageBreak/>
        <w:drawing>
          <wp:inline distT="0" distB="0" distL="0" distR="0" wp14:anchorId="100E1C04" wp14:editId="08557855">
            <wp:extent cx="5940000" cy="46375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s_area_m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3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F4A8" w14:textId="77777777" w:rsidR="00405463" w:rsidRPr="00FF15D6" w:rsidRDefault="00000000" w:rsidP="00FF15D6">
      <w:pPr>
        <w:jc w:val="both"/>
        <w:rPr>
          <w:lang w:val="pt-BR"/>
        </w:rPr>
      </w:pPr>
      <w:r w:rsidRPr="00FF15D6">
        <w:rPr>
          <w:lang w:val="pt-BR"/>
        </w:rPr>
        <w:t xml:space="preserve">Figura 12. Mapa </w:t>
      </w:r>
      <w:proofErr w:type="spellStart"/>
      <w:r w:rsidRPr="00FF15D6">
        <w:rPr>
          <w:lang w:val="pt-BR"/>
        </w:rPr>
        <w:t>coroplético</w:t>
      </w:r>
      <w:proofErr w:type="spellEnd"/>
      <w:r w:rsidRPr="00FF15D6">
        <w:rPr>
          <w:lang w:val="pt-BR"/>
        </w:rPr>
        <w:t xml:space="preserve"> municipal — Densidade de malha por área.</w:t>
      </w:r>
    </w:p>
    <w:p w14:paraId="3A83C492" w14:textId="77777777" w:rsidR="00405463" w:rsidRPr="00FF15D6" w:rsidRDefault="00000000" w:rsidP="00FF15D6">
      <w:pPr>
        <w:pStyle w:val="Ttulo3"/>
        <w:jc w:val="both"/>
        <w:rPr>
          <w:lang w:val="pt-BR"/>
        </w:rPr>
      </w:pPr>
      <w:r w:rsidRPr="00FF15D6">
        <w:rPr>
          <w:lang w:val="pt-BR"/>
        </w:rPr>
        <w:t>4.2.3 Densidade de malha por população (disponibilidade)</w:t>
      </w:r>
    </w:p>
    <w:p w14:paraId="6C18F279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Definição e interpretação. Indica a disponibilidade de infraestrutura em relação ao contingente populacional. Valores elevados podem ocorrer em municípios pouco populosos (inclusive rurais), enquanto valores baixos sugerem maior pressão populacional sobre a rede existente.</w:t>
      </w:r>
    </w:p>
    <w:p w14:paraId="141AF935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Aplicação no PLI. O indicador apoia: (i) diagnóstico e comunicação de disparidades territoriais; (</w:t>
      </w:r>
      <w:proofErr w:type="spellStart"/>
      <w:r w:rsidRPr="00FF15D6">
        <w:rPr>
          <w:lang w:val="pt-BR"/>
        </w:rPr>
        <w:t>ii</w:t>
      </w:r>
      <w:proofErr w:type="spellEnd"/>
      <w:r w:rsidRPr="00FF15D6">
        <w:rPr>
          <w:lang w:val="pt-BR"/>
        </w:rPr>
        <w:t>) priorização de aprofundamentos (demanda, capacidade, segurança viária, logística, conectividade e manutenção); e (</w:t>
      </w:r>
      <w:proofErr w:type="spellStart"/>
      <w:r w:rsidRPr="00FF15D6">
        <w:rPr>
          <w:lang w:val="pt-BR"/>
        </w:rPr>
        <w:t>iii</w:t>
      </w:r>
      <w:proofErr w:type="spellEnd"/>
      <w:r w:rsidRPr="00FF15D6">
        <w:rPr>
          <w:lang w:val="pt-BR"/>
        </w:rPr>
        <w:t>) definição de indicadores de acompanhamento. No PLI, recomenda-se seu uso no capítulo de caracterização do modal rodoviário (diagnóstico), na formulação de diretrizes e programas (critérios territoriais de priorização) e no monitoramento de resultados da carteira de projetos.</w:t>
      </w:r>
    </w:p>
    <w:p w14:paraId="69D7136F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Equação/definição operacional do indicador:</w:t>
      </w:r>
    </w:p>
    <w:p w14:paraId="7B117777" w14:textId="77777777" w:rsidR="00405463" w:rsidRPr="00FF15D6" w:rsidRDefault="00000000" w:rsidP="00FF15D6">
      <w:pPr>
        <w:jc w:val="both"/>
        <w:rPr>
          <w:lang w:val="pt-BR"/>
        </w:rPr>
      </w:pPr>
      <w:r w:rsidRPr="00FF15D6">
        <w:rPr>
          <w:i/>
          <w:lang w:val="pt-BR"/>
        </w:rPr>
        <w:t xml:space="preserve">Densidade por população (km/1000 </w:t>
      </w:r>
      <w:proofErr w:type="spellStart"/>
      <w:r w:rsidRPr="00FF15D6">
        <w:rPr>
          <w:i/>
          <w:lang w:val="pt-BR"/>
        </w:rPr>
        <w:t>hab</w:t>
      </w:r>
      <w:proofErr w:type="spellEnd"/>
      <w:r w:rsidRPr="00FF15D6">
        <w:rPr>
          <w:i/>
          <w:lang w:val="pt-BR"/>
        </w:rPr>
        <w:t>) = Extensão total (km) / (População / 1.000)</w:t>
      </w:r>
    </w:p>
    <w:p w14:paraId="682110E1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 xml:space="preserve">Top 10 municípios (maiores valores): Iporanga (17,234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 xml:space="preserve">); São José do Barreiro (15,534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 xml:space="preserve">); </w:t>
      </w:r>
      <w:proofErr w:type="spellStart"/>
      <w:r w:rsidRPr="00FF15D6">
        <w:rPr>
          <w:lang w:val="pt-BR"/>
        </w:rPr>
        <w:t>Suzanápolis</w:t>
      </w:r>
      <w:proofErr w:type="spellEnd"/>
      <w:r w:rsidRPr="00FF15D6">
        <w:rPr>
          <w:lang w:val="pt-BR"/>
        </w:rPr>
        <w:t xml:space="preserve"> (15,314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 xml:space="preserve">); Paulistânia (14,120 km/1000 </w:t>
      </w:r>
      <w:proofErr w:type="spellStart"/>
      <w:r w:rsidRPr="00FF15D6">
        <w:rPr>
          <w:lang w:val="pt-BR"/>
        </w:rPr>
        <w:lastRenderedPageBreak/>
        <w:t>hab</w:t>
      </w:r>
      <w:proofErr w:type="spellEnd"/>
      <w:r w:rsidRPr="00FF15D6">
        <w:rPr>
          <w:lang w:val="pt-BR"/>
        </w:rPr>
        <w:t xml:space="preserve">); Turmalina (13,357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 xml:space="preserve">); Anhembi (10,831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 xml:space="preserve">); Barra do Turvo (10,310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 xml:space="preserve">); </w:t>
      </w:r>
      <w:proofErr w:type="spellStart"/>
      <w:r w:rsidRPr="00FF15D6">
        <w:rPr>
          <w:lang w:val="pt-BR"/>
        </w:rPr>
        <w:t>Florínea</w:t>
      </w:r>
      <w:proofErr w:type="spellEnd"/>
      <w:r w:rsidRPr="00FF15D6">
        <w:rPr>
          <w:lang w:val="pt-BR"/>
        </w:rPr>
        <w:t xml:space="preserve"> (10,297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 xml:space="preserve">); Estrela do Norte (9,237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 xml:space="preserve">); Bento de Abreu (9,202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>).</w:t>
      </w:r>
    </w:p>
    <w:p w14:paraId="5791834B" w14:textId="77777777" w:rsidR="00405463" w:rsidRPr="00FF15D6" w:rsidRDefault="00000000" w:rsidP="00FF15D6">
      <w:pPr>
        <w:spacing w:after="85"/>
        <w:jc w:val="both"/>
        <w:rPr>
          <w:lang w:val="pt-BR"/>
        </w:rPr>
      </w:pPr>
      <w:proofErr w:type="spellStart"/>
      <w:r w:rsidRPr="00FF15D6">
        <w:rPr>
          <w:lang w:val="pt-BR"/>
        </w:rPr>
        <w:t>Bottom</w:t>
      </w:r>
      <w:proofErr w:type="spellEnd"/>
      <w:r w:rsidRPr="00FF15D6">
        <w:rPr>
          <w:lang w:val="pt-BR"/>
        </w:rPr>
        <w:t xml:space="preserve"> 10 municípios (menores valores): Nova Campina (0,000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 xml:space="preserve">); Nova Castilho (0,000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 xml:space="preserve">); Ferraz de Vasconcelos (0,000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 xml:space="preserve">); </w:t>
      </w:r>
      <w:proofErr w:type="spellStart"/>
      <w:r w:rsidRPr="00FF15D6">
        <w:rPr>
          <w:lang w:val="pt-BR"/>
        </w:rPr>
        <w:t>Motuca</w:t>
      </w:r>
      <w:proofErr w:type="spellEnd"/>
      <w:r w:rsidRPr="00FF15D6">
        <w:rPr>
          <w:lang w:val="pt-BR"/>
        </w:rPr>
        <w:t xml:space="preserve"> (0,000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 xml:space="preserve">); Pracinha (0,000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 xml:space="preserve">); Marapoama (0,000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 xml:space="preserve">); São Luiz do Paraitinga (0,000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 xml:space="preserve">); Embaúba (0,000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 xml:space="preserve">); São João de Iracema (0,000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 xml:space="preserve">); São Caetano do Sul (0,000 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>).</w:t>
      </w:r>
    </w:p>
    <w:p w14:paraId="0466C23F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 xml:space="preserve">Comentário técnico. A densidade por população (km/1000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>) não mede demanda ou nível de serviço; indica disponibilidade relativa de infraestrutura frente ao tamanho da população. Valores muito altos tendem a ocorrer em municípios com baixa população, mesmo que a rede seja pequena; valores baixos sugerem maior pressão populacional sobre a rede e potencial necessidade de gestão de capacidade, segurança viária e alternativas modais.</w:t>
      </w:r>
    </w:p>
    <w:p w14:paraId="753690DF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Direcionamentos para o PLI. Em municípios com baixa disponibilidade por habitante, recomenda-se priorizar ações de capacidade e segurança em corredores críticos (duplicações, faixas adicionais, eliminação de conflitos, travessias urbanas), além de medidas de gestão de demanda e logística urbana/regional. Em municípios com valores muito altos, recomenda-se evitar interpretação automática de “excesso de infraestrutura”: deve-se avaliar conectividade, qualidade da via, função logística e custos de manutenção, para orientar intervenções mais eficientes.</w:t>
      </w:r>
    </w:p>
    <w:p w14:paraId="4960BEBC" w14:textId="77777777" w:rsidR="00405463" w:rsidRDefault="00000000">
      <w:r>
        <w:rPr>
          <w:noProof/>
        </w:rPr>
        <w:drawing>
          <wp:inline distT="0" distB="0" distL="0" distR="0" wp14:anchorId="51F6152B" wp14:editId="6896E69D">
            <wp:extent cx="5940000" cy="33240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s_pop_top_bott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18BA" w14:textId="77777777" w:rsidR="00405463" w:rsidRPr="00FF15D6" w:rsidRDefault="00000000">
      <w:pPr>
        <w:jc w:val="center"/>
        <w:rPr>
          <w:lang w:val="pt-BR"/>
        </w:rPr>
      </w:pPr>
      <w:r w:rsidRPr="00FF15D6">
        <w:rPr>
          <w:lang w:val="pt-BR"/>
        </w:rPr>
        <w:t xml:space="preserve">Figura 3. Top 10 e </w:t>
      </w:r>
      <w:proofErr w:type="spellStart"/>
      <w:r w:rsidRPr="00FF15D6">
        <w:rPr>
          <w:lang w:val="pt-BR"/>
        </w:rPr>
        <w:t>Bottom</w:t>
      </w:r>
      <w:proofErr w:type="spellEnd"/>
      <w:r w:rsidRPr="00FF15D6">
        <w:rPr>
          <w:lang w:val="pt-BR"/>
        </w:rPr>
        <w:t xml:space="preserve"> 10 municípios — Densidade de malha por população (disponibilidade).</w:t>
      </w:r>
    </w:p>
    <w:p w14:paraId="5CFB56A9" w14:textId="77777777" w:rsidR="00405463" w:rsidRDefault="00000000">
      <w:r>
        <w:rPr>
          <w:noProof/>
        </w:rPr>
        <w:lastRenderedPageBreak/>
        <w:drawing>
          <wp:inline distT="0" distB="0" distL="0" distR="0" wp14:anchorId="001A06A1" wp14:editId="017D100E">
            <wp:extent cx="5940000" cy="46598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s_pop_ma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5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68FD" w14:textId="77777777" w:rsidR="00405463" w:rsidRPr="00FF15D6" w:rsidRDefault="00000000">
      <w:pPr>
        <w:jc w:val="center"/>
        <w:rPr>
          <w:lang w:val="pt-BR"/>
        </w:rPr>
      </w:pPr>
      <w:r w:rsidRPr="00FF15D6">
        <w:rPr>
          <w:lang w:val="pt-BR"/>
        </w:rPr>
        <w:t xml:space="preserve">Figura 13. Mapa </w:t>
      </w:r>
      <w:proofErr w:type="spellStart"/>
      <w:r w:rsidRPr="00FF15D6">
        <w:rPr>
          <w:lang w:val="pt-BR"/>
        </w:rPr>
        <w:t>coroplético</w:t>
      </w:r>
      <w:proofErr w:type="spellEnd"/>
      <w:r w:rsidRPr="00FF15D6">
        <w:rPr>
          <w:lang w:val="pt-BR"/>
        </w:rPr>
        <w:t xml:space="preserve"> municipal — Densidade de malha por população (disponibilidade).</w:t>
      </w:r>
    </w:p>
    <w:p w14:paraId="5C207259" w14:textId="77777777" w:rsidR="00405463" w:rsidRPr="00FF15D6" w:rsidRDefault="00000000" w:rsidP="00FF15D6">
      <w:pPr>
        <w:pStyle w:val="Ttulo1"/>
        <w:jc w:val="both"/>
        <w:rPr>
          <w:lang w:val="pt-BR"/>
        </w:rPr>
      </w:pPr>
      <w:r w:rsidRPr="00FF15D6">
        <w:rPr>
          <w:lang w:val="pt-BR"/>
        </w:rPr>
        <w:t>5. Conclusão</w:t>
      </w:r>
    </w:p>
    <w:p w14:paraId="63CFA243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 xml:space="preserve">Os indicadores de extensão e densidade permitem leitura integrada do sistema rodoviário em três perspectivas complementares: porte absoluto de infraestrutura (km), cobertura territorial (km/km²) e disponibilidade relativa frente à população (km/1000 </w:t>
      </w:r>
      <w:proofErr w:type="spellStart"/>
      <w:r w:rsidRPr="00FF15D6">
        <w:rPr>
          <w:lang w:val="pt-BR"/>
        </w:rPr>
        <w:t>hab</w:t>
      </w:r>
      <w:proofErr w:type="spellEnd"/>
      <w:r w:rsidRPr="00FF15D6">
        <w:rPr>
          <w:lang w:val="pt-BR"/>
        </w:rPr>
        <w:t>). A leitura conjunta dos Top/</w:t>
      </w:r>
      <w:proofErr w:type="spellStart"/>
      <w:r w:rsidRPr="00FF15D6">
        <w:rPr>
          <w:lang w:val="pt-BR"/>
        </w:rPr>
        <w:t>Bottom</w:t>
      </w:r>
      <w:proofErr w:type="spellEnd"/>
      <w:r w:rsidRPr="00FF15D6">
        <w:rPr>
          <w:lang w:val="pt-BR"/>
        </w:rPr>
        <w:t xml:space="preserve"> 10 evidencia heterogeneidade municipal, o que reforça a necessidade de critérios territoriais explícitos no PLI para orientar priorização, aprofundamento de estudos e monitoramento de resultados da carteira de programas e projetos.</w:t>
      </w:r>
    </w:p>
    <w:p w14:paraId="612FC19C" w14:textId="668B38FD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 xml:space="preserve">Como encaminhamento, recomenda-se utilizar estes indicadores como camada de diagnóstico e triagem: municípios com baixa </w:t>
      </w:r>
      <w:proofErr w:type="gramStart"/>
      <w:r w:rsidRPr="00FF15D6">
        <w:rPr>
          <w:lang w:val="pt-BR"/>
        </w:rPr>
        <w:t>densidade por área podem</w:t>
      </w:r>
      <w:proofErr w:type="gramEnd"/>
      <w:r w:rsidRPr="00FF15D6">
        <w:rPr>
          <w:lang w:val="pt-BR"/>
        </w:rPr>
        <w:t xml:space="preserve"> ser priorizados para análises de conectividade e acesso a serviços; municípios com baixa disponibilidade por habitante podem demandar ações de capacidade, segurança e gestão de demanda; e municípios com valores nulos/baixos devem ser verificados quanto à completude da base municipal, evitando conclusões derivadas de lacunas de dados</w:t>
      </w:r>
      <w:r w:rsidRPr="00FF15D6">
        <w:rPr>
          <w:lang w:val="pt-BR"/>
        </w:rPr>
        <w:br w:type="page"/>
      </w:r>
    </w:p>
    <w:p w14:paraId="0023745D" w14:textId="77777777" w:rsidR="00405463" w:rsidRDefault="00000000" w:rsidP="00FF15D6">
      <w:pPr>
        <w:pStyle w:val="Ttulo1"/>
        <w:jc w:val="both"/>
        <w:rPr>
          <w:lang w:val="pt-BR"/>
        </w:rPr>
      </w:pPr>
      <w:r w:rsidRPr="00FF15D6">
        <w:rPr>
          <w:lang w:val="pt-BR"/>
        </w:rPr>
        <w:lastRenderedPageBreak/>
        <w:t>Anexo A — Metodologia detalhada (resumo expandido)</w:t>
      </w:r>
    </w:p>
    <w:p w14:paraId="1A0AFCBA" w14:textId="77777777" w:rsidR="00FF15D6" w:rsidRPr="00FF15D6" w:rsidRDefault="00FF15D6" w:rsidP="00FF15D6">
      <w:pPr>
        <w:rPr>
          <w:lang w:val="pt-BR"/>
        </w:rPr>
      </w:pPr>
    </w:p>
    <w:p w14:paraId="6B33BC78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(i) A base vetorial da malha rodoviária do DER/SP foi padronizada e validada quanto a campos essenciais, com tipificação por administração (concessionada/não concessionada) e por hierarquia (SP/SPA/SPI/BR delegada). (</w:t>
      </w:r>
      <w:proofErr w:type="spellStart"/>
      <w:r w:rsidRPr="00FF15D6">
        <w:rPr>
          <w:lang w:val="pt-BR"/>
        </w:rPr>
        <w:t>ii</w:t>
      </w:r>
      <w:proofErr w:type="spellEnd"/>
      <w:r w:rsidRPr="00FF15D6">
        <w:rPr>
          <w:lang w:val="pt-BR"/>
        </w:rPr>
        <w:t>) Para a leitura urbano-rural, aplicou-se classificação baseada em Áreas Urbanizadas do IBGE: para cada trecho, calculou-se a proporção do seu comprimento sobre a mancha urbanizada e classificou-se como urbano (&gt;50%), misto (10–50%) ou rural (&lt;10%). (</w:t>
      </w:r>
      <w:proofErr w:type="spellStart"/>
      <w:r w:rsidRPr="00FF15D6">
        <w:rPr>
          <w:lang w:val="pt-BR"/>
        </w:rPr>
        <w:t>iii</w:t>
      </w:r>
      <w:proofErr w:type="spellEnd"/>
      <w:r w:rsidRPr="00FF15D6">
        <w:rPr>
          <w:lang w:val="pt-BR"/>
        </w:rPr>
        <w:t>) A agregação municipal e regional foi feita por soma de extensão (km), produzindo também componentes por concessão, tipo e localização. (</w:t>
      </w:r>
      <w:proofErr w:type="spellStart"/>
      <w:r w:rsidRPr="00FF15D6">
        <w:rPr>
          <w:lang w:val="pt-BR"/>
        </w:rPr>
        <w:t>iv</w:t>
      </w:r>
      <w:proofErr w:type="spellEnd"/>
      <w:r w:rsidRPr="00FF15D6">
        <w:rPr>
          <w:lang w:val="pt-BR"/>
        </w:rPr>
        <w:t xml:space="preserve">) Para área (km²) por unidade territorial, utilizou-se o atributo do IBGE quando disponível; caso contrário, calculou-se por </w:t>
      </w:r>
      <w:proofErr w:type="spellStart"/>
      <w:r w:rsidRPr="00FF15D6">
        <w:rPr>
          <w:lang w:val="pt-BR"/>
        </w:rPr>
        <w:t>reprojeção</w:t>
      </w:r>
      <w:proofErr w:type="spellEnd"/>
      <w:r w:rsidRPr="00FF15D6">
        <w:rPr>
          <w:lang w:val="pt-BR"/>
        </w:rPr>
        <w:t xml:space="preserve"> para EPSG:5880. (v) As densidades por área e por população foram calculadas conforme as equações apresentadas no corpo do relatório.</w:t>
      </w:r>
    </w:p>
    <w:sectPr w:rsidR="00405463" w:rsidRPr="00FF15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898045">
    <w:abstractNumId w:val="8"/>
  </w:num>
  <w:num w:numId="2" w16cid:durableId="1016423235">
    <w:abstractNumId w:val="6"/>
  </w:num>
  <w:num w:numId="3" w16cid:durableId="1877497680">
    <w:abstractNumId w:val="5"/>
  </w:num>
  <w:num w:numId="4" w16cid:durableId="1710451710">
    <w:abstractNumId w:val="4"/>
  </w:num>
  <w:num w:numId="5" w16cid:durableId="1583562265">
    <w:abstractNumId w:val="7"/>
  </w:num>
  <w:num w:numId="6" w16cid:durableId="572736247">
    <w:abstractNumId w:val="3"/>
  </w:num>
  <w:num w:numId="7" w16cid:durableId="2084982295">
    <w:abstractNumId w:val="2"/>
  </w:num>
  <w:num w:numId="8" w16cid:durableId="2147162184">
    <w:abstractNumId w:val="1"/>
  </w:num>
  <w:num w:numId="9" w16cid:durableId="148631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463"/>
    <w:rsid w:val="00AA1D8D"/>
    <w:rsid w:val="00B47730"/>
    <w:rsid w:val="00C67420"/>
    <w:rsid w:val="00CB0664"/>
    <w:rsid w:val="00FC693F"/>
    <w:rsid w:val="00FF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86B909"/>
  <w14:defaultImageDpi w14:val="300"/>
  <w15:docId w15:val="{DC72BB6F-8B12-4FDF-B3C1-0EF7DB89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2136</Words>
  <Characters>11539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DO PRADO CAPANEMA</cp:lastModifiedBy>
  <cp:revision>2</cp:revision>
  <dcterms:created xsi:type="dcterms:W3CDTF">2013-12-23T23:15:00Z</dcterms:created>
  <dcterms:modified xsi:type="dcterms:W3CDTF">2026-01-08T19:41:00Z</dcterms:modified>
  <cp:category/>
</cp:coreProperties>
</file>