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046955" w14:textId="77777777" w:rsidR="008F7B77" w:rsidRDefault="00000000">
      <w:pPr>
        <w:pStyle w:val="Ttulo"/>
        <w:jc w:val="center"/>
      </w:pPr>
      <w:r>
        <w:rPr>
          <w:b/>
          <w:color w:val="003366"/>
          <w:sz w:val="36"/>
        </w:rPr>
        <w:t>INFERÊNCIA GEOESPACIAL APLICADA À GERAÇÃO DE BASE VETORIAL RODOVIÁRIA</w:t>
      </w:r>
    </w:p>
    <w:p w14:paraId="3349BFB1" w14:textId="77777777" w:rsidR="008F7B77" w:rsidRDefault="00000000">
      <w:pPr>
        <w:jc w:val="center"/>
      </w:pPr>
      <w:r>
        <w:rPr>
          <w:i/>
          <w:color w:val="666666"/>
          <w:sz w:val="24"/>
        </w:rPr>
        <w:t>Estudo de Caso para o Estado de São Paulo</w:t>
      </w:r>
    </w:p>
    <w:p w14:paraId="2F4BACAA" w14:textId="77777777" w:rsidR="008F7B77" w:rsidRDefault="008F7B77"/>
    <w:p w14:paraId="052BB48D" w14:textId="77777777" w:rsidR="008F7B77" w:rsidRDefault="008F7B77"/>
    <w:p w14:paraId="78BA40F0" w14:textId="77777777" w:rsidR="008F7B77" w:rsidRDefault="00000000">
      <w:pPr>
        <w:jc w:val="center"/>
      </w:pPr>
      <w:r>
        <w:rPr>
          <w:color w:val="666666"/>
        </w:rPr>
        <w:t>Base Estimada: Malha Municipal – PLI/SP</w:t>
      </w:r>
      <w:r>
        <w:rPr>
          <w:color w:val="666666"/>
        </w:rPr>
        <w:br/>
        <w:t>(OpenStreetMap + DER/SP + SEADE/IBGE)</w:t>
      </w:r>
    </w:p>
    <w:p w14:paraId="1C5A2E7A" w14:textId="77777777" w:rsidR="008F7B77" w:rsidRDefault="008F7B77"/>
    <w:p w14:paraId="4AB5B864" w14:textId="77777777" w:rsidR="008F7B77" w:rsidRDefault="008F7B77"/>
    <w:p w14:paraId="386FA567" w14:textId="77777777" w:rsidR="008F7B77" w:rsidRDefault="008F7B77"/>
    <w:p w14:paraId="2E29286D" w14:textId="77777777" w:rsidR="008F7B77" w:rsidRDefault="00000000">
      <w:pPr>
        <w:jc w:val="center"/>
      </w:pPr>
      <w:r>
        <w:rPr>
          <w:sz w:val="24"/>
        </w:rPr>
        <w:t>São Paulo</w:t>
      </w:r>
      <w:r>
        <w:rPr>
          <w:sz w:val="24"/>
        </w:rPr>
        <w:br/>
        <w:t>January de 2026</w:t>
      </w:r>
    </w:p>
    <w:p w14:paraId="7C00A66D" w14:textId="77777777" w:rsidR="008F7B77" w:rsidRDefault="00000000">
      <w:r>
        <w:br w:type="page"/>
      </w:r>
    </w:p>
    <w:p w14:paraId="3FFD92B7" w14:textId="77777777" w:rsidR="008F7B77" w:rsidRDefault="00000000">
      <w:pPr>
        <w:pStyle w:val="Ttulo1"/>
      </w:pPr>
      <w:r>
        <w:rPr>
          <w:color w:val="003366"/>
        </w:rPr>
        <w:lastRenderedPageBreak/>
        <w:t>1. INTRODUÇÃO</w:t>
      </w:r>
    </w:p>
    <w:p w14:paraId="7DF25EB4" w14:textId="77777777" w:rsidR="008F7B77" w:rsidRDefault="00000000">
      <w:pPr>
        <w:spacing w:before="120" w:after="120"/>
        <w:jc w:val="both"/>
      </w:pPr>
      <w:r>
        <w:rPr>
          <w:rFonts w:ascii="Calibri" w:hAnsi="Calibri"/>
        </w:rPr>
        <w:t>O Estado de São Paulo dispõe de extensa rede rodoviária distribuída entre rodovias federais, estaduais e municipais (vicinais). Enquanto as malhas federal e estadual contam com cadastros oficiais consolidados e atualizados periodicamente, a malha vicinal — de responsabilidade municipal — não possui, até o momento, uma base vetorial unificada, oficial e de cobertura estadual.</w:t>
      </w:r>
    </w:p>
    <w:p w14:paraId="562812A1" w14:textId="77777777" w:rsidR="008F7B77" w:rsidRDefault="00000000">
      <w:pPr>
        <w:spacing w:before="120" w:after="120"/>
        <w:jc w:val="both"/>
      </w:pPr>
      <w:r>
        <w:rPr>
          <w:rFonts w:ascii="Calibri" w:hAnsi="Calibri"/>
        </w:rPr>
        <w:t>Essa lacuna limita a capacidade de planejamento integrado, análises territoriais comparativas e priorização de investimentos em infraestrutura viária municipal. O presente estudo foi desenvolvido no contexto do Plano de Logística Integrada do Estado de São Paulo (PLI/SP) e tem por objetivo apresentar uma metodologia de inferência geoespacial capaz de gerar uma base vetorial rodoviária estimada para a malha vicinal paulista, a partir da integração de fontes abertas (OpenStreetMap) e oficiais (DER/SP, IBGE, SEADE).</w:t>
      </w:r>
    </w:p>
    <w:p w14:paraId="5A5F926A" w14:textId="77777777" w:rsidR="008F7B77" w:rsidRDefault="00000000">
      <w:pPr>
        <w:pBdr>
          <w:top w:val="single" w:sz="12" w:space="4" w:color="FFA500"/>
          <w:left w:val="single" w:sz="12" w:space="4" w:color="FFA500"/>
          <w:bottom w:val="single" w:sz="12" w:space="4" w:color="FFA500"/>
          <w:right w:val="single" w:sz="12" w:space="4" w:color="FFA500"/>
        </w:pBdr>
        <w:shd w:val="clear" w:color="auto" w:fill="FFF8DC"/>
        <w:spacing w:before="240" w:after="240"/>
        <w:ind w:left="567" w:right="567"/>
      </w:pPr>
      <w:r>
        <w:rPr>
          <w:b/>
          <w:color w:val="CC6600"/>
        </w:rPr>
        <w:t>⚠️ Ressalva Metodológica Fundamental</w:t>
      </w:r>
      <w:r>
        <w:rPr>
          <w:b/>
          <w:color w:val="CC6600"/>
        </w:rPr>
        <w:br/>
      </w:r>
      <w:r>
        <w:rPr>
          <w:color w:val="333333"/>
          <w:sz w:val="20"/>
        </w:rPr>
        <w:t>A base apresentada constitui uma APROXIMAÇÃO da infraestrutura rodoviária municipal paulista, obtida por meio de geoprocessamento aplicado a bases existentes. Trata-se de um produto derivado de inferência geoespacial — não de levantamento topográfico ou cadastro oficial. Os valores são indicativos e podem divergir da realidade em campo devido a limitações inerentes às fontes, à metodologia de filtragem e aos processos de integração espacial empregados. Esta base representa um ponto de partida para análises exploratórias, devendo ser refinada continuamente por meio de validação cruzada com outras fontes oficiais, verificações em campo e integração com cadastros municipais quando disponíveis.</w:t>
      </w:r>
    </w:p>
    <w:p w14:paraId="1F80C3E0" w14:textId="77777777" w:rsidR="008F7B77" w:rsidRDefault="00000000">
      <w:pPr>
        <w:spacing w:before="120" w:after="120"/>
        <w:jc w:val="both"/>
      </w:pPr>
      <w:r>
        <w:rPr>
          <w:rFonts w:ascii="Calibri" w:hAnsi="Calibri"/>
        </w:rPr>
        <w:t>O estudo está estruturado em quatro seções principais: (1) esta Introdução, que contextualiza a problemática e os objetivos; (2) Metodologia, que detalha os dados utilizados e os procedimentos de processamento espacial; (3) Resultados e Discussão, que apresenta os indicadores obtidos nas escalas municipal e regional; e (4) Considerações Finais, que sintetiza os achados principais e aponta limitações e perspectivas de aprimoramento.</w:t>
      </w:r>
    </w:p>
    <w:p w14:paraId="29E73A46" w14:textId="77777777" w:rsidR="008F7B77" w:rsidRDefault="00000000">
      <w:r>
        <w:br w:type="page"/>
      </w:r>
    </w:p>
    <w:p w14:paraId="26B3575D" w14:textId="77777777" w:rsidR="008F7B77" w:rsidRDefault="00000000">
      <w:pPr>
        <w:pStyle w:val="Ttulo1"/>
      </w:pPr>
      <w:r>
        <w:rPr>
          <w:color w:val="003366"/>
        </w:rPr>
        <w:lastRenderedPageBreak/>
        <w:t>2. METODOLOGIA</w:t>
      </w:r>
    </w:p>
    <w:p w14:paraId="492B4CA6" w14:textId="77777777" w:rsidR="008F7B77" w:rsidRDefault="00000000">
      <w:pPr>
        <w:spacing w:before="120" w:after="120"/>
        <w:jc w:val="both"/>
      </w:pPr>
      <w:r>
        <w:rPr>
          <w:rFonts w:ascii="Calibri" w:hAnsi="Calibri"/>
        </w:rPr>
        <w:t>A metodologia adotada baseia-se em princípios de ciência de dados espaciais, priorizando reprodutibilidade, rastreabilidade de decisões técnicas e documentação integral do fluxo de processamento. Todos os dados de entrada são públicos, as ferramentas utilizadas são de código aberto e os critérios de filtragem estão explicitados em detalhes. Essa transparência assegura auditabilidade técnica e permite replicação ou adaptação do estudo para outros contextos territoriais.</w:t>
      </w:r>
    </w:p>
    <w:p w14:paraId="1D28492F" w14:textId="77777777" w:rsidR="008F7B77" w:rsidRDefault="00000000">
      <w:pPr>
        <w:pStyle w:val="Ttulo2"/>
      </w:pPr>
      <w:r>
        <w:rPr>
          <w:color w:val="003366"/>
        </w:rPr>
        <w:t>2.1. Fontes de Dados</w:t>
      </w:r>
    </w:p>
    <w:p w14:paraId="2D8C517D" w14:textId="77777777" w:rsidR="008F7B77" w:rsidRDefault="00000000">
      <w:pPr>
        <w:spacing w:before="120" w:after="120"/>
        <w:jc w:val="both"/>
      </w:pPr>
      <w:r>
        <w:rPr>
          <w:rFonts w:ascii="Calibri" w:hAnsi="Calibri"/>
        </w:rPr>
        <w:t>O estudo integra cinco conjuntos de dados geoespaciais de fontes abertas e oficiais, conforme sintetizado na Tabela 1.</w:t>
      </w:r>
    </w:p>
    <w:tbl>
      <w:tblPr>
        <w:tblStyle w:val="GradeClara-nfase1"/>
        <w:tblW w:w="0" w:type="auto"/>
        <w:tblLook w:val="04A0" w:firstRow="1" w:lastRow="0" w:firstColumn="1" w:lastColumn="0" w:noHBand="0" w:noVBand="1"/>
      </w:tblPr>
      <w:tblGrid>
        <w:gridCol w:w="3128"/>
        <w:gridCol w:w="3128"/>
        <w:gridCol w:w="3129"/>
      </w:tblGrid>
      <w:tr w:rsidR="008F7B77" w14:paraId="00048A65" w14:textId="77777777" w:rsidTr="008F7B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7B1EF1D6" w14:textId="77777777" w:rsidR="008F7B77" w:rsidRDefault="00000000">
            <w:r>
              <w:rPr>
                <w:sz w:val="20"/>
              </w:rPr>
              <w:t>Dataset</w:t>
            </w:r>
          </w:p>
        </w:tc>
        <w:tc>
          <w:tcPr>
            <w:tcW w:w="3135" w:type="dxa"/>
          </w:tcPr>
          <w:p w14:paraId="6D309F3E" w14:textId="77777777" w:rsidR="008F7B77" w:rsidRDefault="00000000">
            <w:pPr>
              <w:cnfStyle w:val="100000000000" w:firstRow="1" w:lastRow="0" w:firstColumn="0" w:lastColumn="0" w:oddVBand="0" w:evenVBand="0" w:oddHBand="0" w:evenHBand="0" w:firstRowFirstColumn="0" w:firstRowLastColumn="0" w:lastRowFirstColumn="0" w:lastRowLastColumn="0"/>
            </w:pPr>
            <w:r>
              <w:rPr>
                <w:sz w:val="20"/>
              </w:rPr>
              <w:t>Fonte</w:t>
            </w:r>
          </w:p>
        </w:tc>
        <w:tc>
          <w:tcPr>
            <w:tcW w:w="3135" w:type="dxa"/>
          </w:tcPr>
          <w:p w14:paraId="7D59FB24" w14:textId="77777777" w:rsidR="008F7B77" w:rsidRDefault="00000000">
            <w:pPr>
              <w:cnfStyle w:val="100000000000" w:firstRow="1" w:lastRow="0" w:firstColumn="0" w:lastColumn="0" w:oddVBand="0" w:evenVBand="0" w:oddHBand="0" w:evenHBand="0" w:firstRowFirstColumn="0" w:firstRowLastColumn="0" w:lastRowFirstColumn="0" w:lastRowLastColumn="0"/>
            </w:pPr>
            <w:r>
              <w:rPr>
                <w:sz w:val="20"/>
              </w:rPr>
              <w:t>Características</w:t>
            </w:r>
          </w:p>
        </w:tc>
      </w:tr>
      <w:tr w:rsidR="008F7B77" w14:paraId="032B610E" w14:textId="77777777" w:rsidTr="008F7B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493DF0F9" w14:textId="77777777" w:rsidR="008F7B77" w:rsidRDefault="00000000">
            <w:r>
              <w:rPr>
                <w:sz w:val="20"/>
              </w:rPr>
              <w:t>OSM Sudeste</w:t>
            </w:r>
          </w:p>
        </w:tc>
        <w:tc>
          <w:tcPr>
            <w:tcW w:w="3135" w:type="dxa"/>
          </w:tcPr>
          <w:p w14:paraId="685267B5" w14:textId="77777777" w:rsidR="008F7B77" w:rsidRDefault="00000000">
            <w:pPr>
              <w:cnfStyle w:val="000000100000" w:firstRow="0" w:lastRow="0" w:firstColumn="0" w:lastColumn="0" w:oddVBand="0" w:evenVBand="0" w:oddHBand="1" w:evenHBand="0" w:firstRowFirstColumn="0" w:firstRowLastColumn="0" w:lastRowFirstColumn="0" w:lastRowLastColumn="0"/>
            </w:pPr>
            <w:r>
              <w:rPr>
                <w:sz w:val="20"/>
              </w:rPr>
              <w:t>Geofabrik (Nov/2025)</w:t>
            </w:r>
          </w:p>
        </w:tc>
        <w:tc>
          <w:tcPr>
            <w:tcW w:w="3135" w:type="dxa"/>
          </w:tcPr>
          <w:p w14:paraId="3C617DFF" w14:textId="77777777" w:rsidR="008F7B77" w:rsidRDefault="00000000">
            <w:pPr>
              <w:cnfStyle w:val="000000100000" w:firstRow="0" w:lastRow="0" w:firstColumn="0" w:lastColumn="0" w:oddVBand="0" w:evenVBand="0" w:oddHBand="1" w:evenHBand="0" w:firstRowFirstColumn="0" w:firstRowLastColumn="0" w:lastRowFirstColumn="0" w:lastRowLastColumn="0"/>
            </w:pPr>
            <w:r>
              <w:rPr>
                <w:sz w:val="20"/>
              </w:rPr>
              <w:t>1.358.788 ways (SP), 788,8 MB</w:t>
            </w:r>
          </w:p>
        </w:tc>
      </w:tr>
      <w:tr w:rsidR="008F7B77" w14:paraId="2392C74F" w14:textId="77777777" w:rsidTr="008F7B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3236F927" w14:textId="77777777" w:rsidR="008F7B77" w:rsidRDefault="00000000">
            <w:r>
              <w:rPr>
                <w:sz w:val="20"/>
              </w:rPr>
              <w:t>Áreas Urbanas</w:t>
            </w:r>
          </w:p>
        </w:tc>
        <w:tc>
          <w:tcPr>
            <w:tcW w:w="3135" w:type="dxa"/>
          </w:tcPr>
          <w:p w14:paraId="02012750" w14:textId="77777777" w:rsidR="008F7B77" w:rsidRDefault="00000000">
            <w:pPr>
              <w:cnfStyle w:val="000000010000" w:firstRow="0" w:lastRow="0" w:firstColumn="0" w:lastColumn="0" w:oddVBand="0" w:evenVBand="0" w:oddHBand="0" w:evenHBand="1" w:firstRowFirstColumn="0" w:firstRowLastColumn="0" w:lastRowFirstColumn="0" w:lastRowLastColumn="0"/>
            </w:pPr>
            <w:r>
              <w:rPr>
                <w:sz w:val="20"/>
              </w:rPr>
              <w:t>IBGE 2019</w:t>
            </w:r>
          </w:p>
        </w:tc>
        <w:tc>
          <w:tcPr>
            <w:tcW w:w="3135" w:type="dxa"/>
          </w:tcPr>
          <w:p w14:paraId="014DDFE3" w14:textId="77777777" w:rsidR="008F7B77" w:rsidRDefault="00000000">
            <w:pPr>
              <w:cnfStyle w:val="000000010000" w:firstRow="0" w:lastRow="0" w:firstColumn="0" w:lastColumn="0" w:oddVBand="0" w:evenVBand="0" w:oddHBand="0" w:evenHBand="1" w:firstRowFirstColumn="0" w:firstRowLastColumn="0" w:lastRowFirstColumn="0" w:lastRowLastColumn="0"/>
            </w:pPr>
            <w:r>
              <w:rPr>
                <w:sz w:val="20"/>
              </w:rPr>
              <w:t>24.186 polígonos</w:t>
            </w:r>
          </w:p>
        </w:tc>
      </w:tr>
      <w:tr w:rsidR="008F7B77" w14:paraId="4108FB91" w14:textId="77777777" w:rsidTr="008F7B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50F4E2E1" w14:textId="77777777" w:rsidR="008F7B77" w:rsidRDefault="00000000">
            <w:r>
              <w:rPr>
                <w:sz w:val="20"/>
              </w:rPr>
              <w:t>Faces Logradouro</w:t>
            </w:r>
          </w:p>
        </w:tc>
        <w:tc>
          <w:tcPr>
            <w:tcW w:w="3135" w:type="dxa"/>
          </w:tcPr>
          <w:p w14:paraId="5DB0BFD8" w14:textId="77777777" w:rsidR="008F7B77" w:rsidRDefault="00000000">
            <w:pPr>
              <w:cnfStyle w:val="000000100000" w:firstRow="0" w:lastRow="0" w:firstColumn="0" w:lastColumn="0" w:oddVBand="0" w:evenVBand="0" w:oddHBand="1" w:evenHBand="0" w:firstRowFirstColumn="0" w:firstRowLastColumn="0" w:lastRowFirstColumn="0" w:lastRowLastColumn="0"/>
            </w:pPr>
            <w:r>
              <w:rPr>
                <w:sz w:val="20"/>
              </w:rPr>
              <w:t>IBGE Censo 2022</w:t>
            </w:r>
          </w:p>
        </w:tc>
        <w:tc>
          <w:tcPr>
            <w:tcW w:w="3135" w:type="dxa"/>
          </w:tcPr>
          <w:p w14:paraId="60BCAB6A" w14:textId="77777777" w:rsidR="008F7B77" w:rsidRDefault="00000000">
            <w:pPr>
              <w:cnfStyle w:val="000000100000" w:firstRow="0" w:lastRow="0" w:firstColumn="0" w:lastColumn="0" w:oddVBand="0" w:evenVBand="0" w:oddHBand="1" w:evenHBand="0" w:firstRowFirstColumn="0" w:firstRowLastColumn="0" w:lastRowFirstColumn="0" w:lastRowLastColumn="0"/>
            </w:pPr>
            <w:r>
              <w:rPr>
                <w:sz w:val="20"/>
              </w:rPr>
              <w:t>~2,4 milhões (SP)</w:t>
            </w:r>
          </w:p>
        </w:tc>
      </w:tr>
      <w:tr w:rsidR="008F7B77" w14:paraId="5A99F206" w14:textId="77777777" w:rsidTr="008F7B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10A7BF66" w14:textId="77777777" w:rsidR="008F7B77" w:rsidRDefault="00000000">
            <w:r>
              <w:rPr>
                <w:sz w:val="20"/>
              </w:rPr>
              <w:t>Malha DER/SP</w:t>
            </w:r>
          </w:p>
        </w:tc>
        <w:tc>
          <w:tcPr>
            <w:tcW w:w="3135" w:type="dxa"/>
          </w:tcPr>
          <w:p w14:paraId="0E6657BE" w14:textId="77777777" w:rsidR="008F7B77" w:rsidRDefault="00000000">
            <w:pPr>
              <w:cnfStyle w:val="000000010000" w:firstRow="0" w:lastRow="0" w:firstColumn="0" w:lastColumn="0" w:oddVBand="0" w:evenVBand="0" w:oddHBand="0" w:evenHBand="1" w:firstRowFirstColumn="0" w:firstRowLastColumn="0" w:lastRowFirstColumn="0" w:lastRowLastColumn="0"/>
            </w:pPr>
            <w:r>
              <w:rPr>
                <w:sz w:val="20"/>
              </w:rPr>
              <w:t>DER/SP (Mai/2025)</w:t>
            </w:r>
          </w:p>
        </w:tc>
        <w:tc>
          <w:tcPr>
            <w:tcW w:w="3135" w:type="dxa"/>
          </w:tcPr>
          <w:p w14:paraId="0740C388" w14:textId="77777777" w:rsidR="008F7B77" w:rsidRDefault="00000000">
            <w:pPr>
              <w:cnfStyle w:val="000000010000" w:firstRow="0" w:lastRow="0" w:firstColumn="0" w:lastColumn="0" w:oddVBand="0" w:evenVBand="0" w:oddHBand="0" w:evenHBand="1" w:firstRowFirstColumn="0" w:firstRowLastColumn="0" w:lastRowFirstColumn="0" w:lastRowLastColumn="0"/>
            </w:pPr>
            <w:r>
              <w:rPr>
                <w:sz w:val="20"/>
              </w:rPr>
              <w:t>7.417 segmentos, 25.919 km</w:t>
            </w:r>
          </w:p>
        </w:tc>
      </w:tr>
      <w:tr w:rsidR="008F7B77" w14:paraId="42AACC77" w14:textId="77777777" w:rsidTr="008F7B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5EE6C42B" w14:textId="77777777" w:rsidR="008F7B77" w:rsidRDefault="00000000">
            <w:r>
              <w:rPr>
                <w:sz w:val="20"/>
              </w:rPr>
              <w:t>Municípios SEADE</w:t>
            </w:r>
          </w:p>
        </w:tc>
        <w:tc>
          <w:tcPr>
            <w:tcW w:w="3135" w:type="dxa"/>
          </w:tcPr>
          <w:p w14:paraId="5600865A" w14:textId="77777777" w:rsidR="008F7B77" w:rsidRDefault="00000000">
            <w:pPr>
              <w:cnfStyle w:val="000000100000" w:firstRow="0" w:lastRow="0" w:firstColumn="0" w:lastColumn="0" w:oddVBand="0" w:evenVBand="0" w:oddHBand="1" w:evenHBand="0" w:firstRowFirstColumn="0" w:firstRowLastColumn="0" w:lastRowFirstColumn="0" w:lastRowLastColumn="0"/>
            </w:pPr>
            <w:r>
              <w:rPr>
                <w:sz w:val="20"/>
              </w:rPr>
              <w:t>Fundação SEADE</w:t>
            </w:r>
          </w:p>
        </w:tc>
        <w:tc>
          <w:tcPr>
            <w:tcW w:w="3135" w:type="dxa"/>
          </w:tcPr>
          <w:p w14:paraId="6D2F17A3" w14:textId="77777777" w:rsidR="008F7B77" w:rsidRDefault="00000000">
            <w:pPr>
              <w:cnfStyle w:val="000000100000" w:firstRow="0" w:lastRow="0" w:firstColumn="0" w:lastColumn="0" w:oddVBand="0" w:evenVBand="0" w:oddHBand="1" w:evenHBand="0" w:firstRowFirstColumn="0" w:firstRowLastColumn="0" w:lastRowFirstColumn="0" w:lastRowLastColumn="0"/>
            </w:pPr>
            <w:r>
              <w:rPr>
                <w:sz w:val="20"/>
              </w:rPr>
              <w:t>645 municípios, 16 RAs</w:t>
            </w:r>
          </w:p>
        </w:tc>
      </w:tr>
    </w:tbl>
    <w:p w14:paraId="2D72BBA3" w14:textId="77777777" w:rsidR="008F7B77" w:rsidRDefault="00000000">
      <w:pPr>
        <w:jc w:val="center"/>
      </w:pPr>
      <w:r>
        <w:rPr>
          <w:i/>
          <w:color w:val="666666"/>
          <w:sz w:val="20"/>
        </w:rPr>
        <w:t>Tabela 1 – Síntese dos dados utilizados</w:t>
      </w:r>
    </w:p>
    <w:p w14:paraId="25951DDB" w14:textId="77777777" w:rsidR="008F7B77" w:rsidRDefault="008F7B77"/>
    <w:p w14:paraId="64A71287" w14:textId="77777777" w:rsidR="008F7B77" w:rsidRDefault="00000000">
      <w:pPr>
        <w:pStyle w:val="Ttulo3"/>
      </w:pPr>
      <w:r>
        <w:rPr>
          <w:color w:val="003366"/>
        </w:rPr>
        <w:t>2.1.1. OpenStreetMap (OSM)</w:t>
      </w:r>
    </w:p>
    <w:p w14:paraId="787EB92E" w14:textId="77777777" w:rsidR="008F7B77" w:rsidRDefault="00000000">
      <w:pPr>
        <w:spacing w:before="120" w:after="120"/>
        <w:jc w:val="both"/>
      </w:pPr>
      <w:r>
        <w:rPr>
          <w:rFonts w:ascii="Calibri" w:hAnsi="Calibri"/>
        </w:rPr>
        <w:t>O OpenStreetMap é um projeto colaborativo de mapeamento global que registra vias de todas as hierarquias a partir de contribuições voluntárias, imagens de satélite e levantamentos de campo. Para este estudo, utilizou-se o extrato regional Sudeste disponibilizado pela Geofabrik GmbH (snapshot de 11 de novembro de 2025), contendo 1.358.788 segmentos viários (ways) para o Estado de São Paulo em formato PBF (Protocol Buffer Format), totalizando 788,8 MB.</w:t>
      </w:r>
    </w:p>
    <w:p w14:paraId="30930862" w14:textId="77777777" w:rsidR="008F7B77" w:rsidRDefault="00000000">
      <w:pPr>
        <w:pStyle w:val="Ttulo3"/>
      </w:pPr>
      <w:r>
        <w:rPr>
          <w:color w:val="003366"/>
        </w:rPr>
        <w:t>2.1.2. Instituto Brasileiro de Geografia e Estatística (IBGE)</w:t>
      </w:r>
    </w:p>
    <w:p w14:paraId="13B55605" w14:textId="77777777" w:rsidR="008F7B77" w:rsidRDefault="00000000">
      <w:pPr>
        <w:spacing w:before="120" w:after="120"/>
        <w:jc w:val="both"/>
      </w:pPr>
      <w:r>
        <w:rPr>
          <w:rFonts w:ascii="Calibri" w:hAnsi="Calibri"/>
        </w:rPr>
        <w:t>Duas bases do IBGE foram utilizadas para refinamento espacial da malha vicinal:</w:t>
      </w:r>
    </w:p>
    <w:p w14:paraId="2EB1BD0F" w14:textId="77777777" w:rsidR="008F7B77" w:rsidRDefault="00000000">
      <w:pPr>
        <w:pStyle w:val="Commarcadores"/>
      </w:pPr>
      <w:r>
        <w:t>Áreas Urbanizadas 2019: delimitação de áreas efetivamente urbanizadas, incluindo cidades, vilas e aglomerações urbanas, com 24.186 polígonos para o Estado de São Paulo;</w:t>
      </w:r>
    </w:p>
    <w:p w14:paraId="73AEA79C" w14:textId="77777777" w:rsidR="008F7B77" w:rsidRDefault="00000000">
      <w:pPr>
        <w:pStyle w:val="Commarcadores"/>
      </w:pPr>
      <w:r>
        <w:t>Faces de Logradouro (Censo 2022): representação linear de todas as ruas, avenidas e vias mapeadas pelo IBGE durante o Censo, totalizando aproximadamente 2,4 milhões de faces para São Paulo.</w:t>
      </w:r>
    </w:p>
    <w:p w14:paraId="0E611099" w14:textId="77777777" w:rsidR="008F7B77" w:rsidRDefault="00000000">
      <w:pPr>
        <w:pBdr>
          <w:top w:val="single" w:sz="12" w:space="4" w:color="FFA500"/>
          <w:left w:val="single" w:sz="12" w:space="4" w:color="FFA500"/>
          <w:bottom w:val="single" w:sz="12" w:space="4" w:color="FFA500"/>
          <w:right w:val="single" w:sz="12" w:space="4" w:color="FFA500"/>
        </w:pBdr>
        <w:shd w:val="clear" w:color="auto" w:fill="FFF8DC"/>
        <w:spacing w:before="240" w:after="240"/>
        <w:ind w:left="567" w:right="567"/>
      </w:pPr>
      <w:r>
        <w:rPr>
          <w:b/>
          <w:color w:val="CC6600"/>
        </w:rPr>
        <w:t>⚠️ Limitação Temporal</w:t>
      </w:r>
      <w:r>
        <w:rPr>
          <w:b/>
          <w:color w:val="CC6600"/>
        </w:rPr>
        <w:br/>
      </w:r>
      <w:r>
        <w:rPr>
          <w:color w:val="333333"/>
          <w:sz w:val="20"/>
        </w:rPr>
        <w:t>Os dados de Áreas Urbanizadas referem-se a 2019 e podem não capturar expansão urbana recente (2020-2025). Algumas vicinais podem ter sido urbanizadas nesse período, resultando em possível superestimação da malha rural em áreas de expansão urbana acelerada.</w:t>
      </w:r>
    </w:p>
    <w:p w14:paraId="3CC67A0D" w14:textId="77777777" w:rsidR="008F7B77" w:rsidRDefault="00000000">
      <w:pPr>
        <w:pStyle w:val="Ttulo3"/>
      </w:pPr>
      <w:r>
        <w:rPr>
          <w:color w:val="003366"/>
        </w:rPr>
        <w:lastRenderedPageBreak/>
        <w:t>2.1.3. Departamento de Estradas de Rodagem de São Paulo (DER/SP)</w:t>
      </w:r>
    </w:p>
    <w:p w14:paraId="25450E9B" w14:textId="77777777" w:rsidR="008F7B77" w:rsidRDefault="00000000">
      <w:pPr>
        <w:spacing w:before="120" w:after="120"/>
        <w:jc w:val="both"/>
      </w:pPr>
      <w:r>
        <w:rPr>
          <w:rFonts w:ascii="Calibri" w:hAnsi="Calibri"/>
        </w:rPr>
        <w:t>O cadastro oficial da malha rodoviária estadual foi obtido do DER/SP (atualização de 16 de maio de 2025), contendo 7.417 segmentos de rodovias municipais cadastradas, totalizando aproximadamente 25.919 km. Esse conjunto representa as vicinais oficialmente reconhecidas e sob manutenção, mas não inclui todas as vicinais existentes, focando nas principais vias municipais.</w:t>
      </w:r>
    </w:p>
    <w:p w14:paraId="654E0787" w14:textId="77777777" w:rsidR="008F7B77" w:rsidRDefault="00000000">
      <w:pPr>
        <w:pStyle w:val="Ttulo3"/>
      </w:pPr>
      <w:r>
        <w:rPr>
          <w:color w:val="003366"/>
        </w:rPr>
        <w:t>2.1.4. Fundação Sistema Estadual de Análise de Dados (SEADE)</w:t>
      </w:r>
    </w:p>
    <w:p w14:paraId="7D83C139" w14:textId="77777777" w:rsidR="008F7B77" w:rsidRDefault="00000000">
      <w:pPr>
        <w:spacing w:before="120" w:after="120"/>
        <w:jc w:val="both"/>
      </w:pPr>
      <w:r>
        <w:rPr>
          <w:rFonts w:ascii="Calibri" w:hAnsi="Calibri"/>
        </w:rPr>
        <w:t>A malha municipal oficial da Fundação SEADE fornece os limites administrativos dos 645 municípios paulistas, incluindo atributos de código IBGE, nome do município, identificador de Região Administrativa (GID_RA) e área territorial. Esses dados permitem agregações por município e por Região Administrativa (16 RAs).</w:t>
      </w:r>
    </w:p>
    <w:p w14:paraId="42989939" w14:textId="77777777" w:rsidR="008F7B77" w:rsidRDefault="00000000">
      <w:pPr>
        <w:pStyle w:val="Ttulo2"/>
      </w:pPr>
      <w:r>
        <w:rPr>
          <w:color w:val="003366"/>
        </w:rPr>
        <w:t>2.2. Sistema de Referência Espacial</w:t>
      </w:r>
    </w:p>
    <w:p w14:paraId="733B00BD" w14:textId="77777777" w:rsidR="008F7B77" w:rsidRDefault="00000000">
      <w:pPr>
        <w:spacing w:before="120" w:after="120"/>
        <w:jc w:val="both"/>
      </w:pPr>
      <w:r>
        <w:rPr>
          <w:rFonts w:ascii="Calibri" w:hAnsi="Calibri"/>
        </w:rPr>
        <w:t>Todos os processamentos e cálculos métricos foram realizados no sistema de coordenadas projetadas SIRGAS 2000 / UTM Zone 23S (EPSG:31983), que é o padrão oficial adotado pelo IBGE, SEADE e DER/SP para o Estado de São Paulo. Embora o território paulista se estenda pelos fusos UTM 22S (oeste) e 23S (leste), optou-se pelo fuso 23S por ser o padrão oficial, garantindo compatibilidade com bases oficiais e consistência nas análises territoriais. A projeção UTM garante distorção inferior a 1% dentro da zona, adequada para análises em escala estadual.</w:t>
      </w:r>
    </w:p>
    <w:p w14:paraId="3998351E" w14:textId="77777777" w:rsidR="008F7B77" w:rsidRDefault="00000000">
      <w:pPr>
        <w:pStyle w:val="Ttulo2"/>
      </w:pPr>
      <w:r>
        <w:rPr>
          <w:color w:val="003366"/>
        </w:rPr>
        <w:t>2.3. Procedimentos de Processamento Espacial</w:t>
      </w:r>
    </w:p>
    <w:p w14:paraId="1F3A8D74" w14:textId="77777777" w:rsidR="008F7B77" w:rsidRDefault="00000000">
      <w:pPr>
        <w:spacing w:before="120" w:after="120"/>
        <w:jc w:val="both"/>
      </w:pPr>
      <w:r>
        <w:rPr>
          <w:rFonts w:ascii="Calibri" w:hAnsi="Calibri"/>
        </w:rPr>
        <w:t>A geração da base vetorial de malha vicinal estimada seguiu um fluxo sequencial de quatro etapas principais, conforme ilustrado na Figura 1.</w:t>
      </w:r>
    </w:p>
    <w:p w14:paraId="24514E8B" w14:textId="77777777" w:rsidR="008F7B77" w:rsidRDefault="00000000">
      <w:pPr>
        <w:spacing w:before="240" w:after="120"/>
        <w:jc w:val="center"/>
      </w:pPr>
      <w:r>
        <w:rPr>
          <w:i/>
          <w:color w:val="666666"/>
          <w:sz w:val="20"/>
        </w:rPr>
        <w:t>Figura 1 – Fluxo metodológico de processamento espacial</w:t>
      </w:r>
    </w:p>
    <w:p w14:paraId="5E3EF533" w14:textId="77777777" w:rsidR="008F7B77" w:rsidRDefault="00000000">
      <w:pPr>
        <w:jc w:val="center"/>
      </w:pPr>
      <w:r>
        <w:rPr>
          <w:i/>
          <w:color w:val="969696"/>
          <w:sz w:val="18"/>
        </w:rPr>
        <w:t>[Figura a ser inserida: passo1.png]</w:t>
      </w:r>
    </w:p>
    <w:p w14:paraId="3051830A" w14:textId="77777777" w:rsidR="008F7B77" w:rsidRDefault="00000000">
      <w:pPr>
        <w:pStyle w:val="Ttulo3"/>
      </w:pPr>
      <w:r>
        <w:rPr>
          <w:color w:val="003366"/>
        </w:rPr>
        <w:t>2.3.1. Preparação e Harmonização</w:t>
      </w:r>
    </w:p>
    <w:p w14:paraId="421CE47C" w14:textId="77777777" w:rsidR="008F7B77" w:rsidRDefault="00000000">
      <w:pPr>
        <w:spacing w:before="120" w:after="120"/>
        <w:jc w:val="both"/>
      </w:pPr>
      <w:r>
        <w:rPr>
          <w:rFonts w:ascii="Calibri" w:hAnsi="Calibri"/>
        </w:rPr>
        <w:t>Os dados da base OSM foram recortados para o limite administrativo do Estado de São Paulo, utilizando como referência espacial o sistema SIRGAS 2000 / UTM 23S. Esse procedimento garante extensão compatível com os limites oficiais estaduais e reduz significativamente o volume computacional nas etapas subsequentes. Em seguida, os dados foram enriquecidos com informações das bases da Fundação SEADE, agregando os atributos Cod_ibge (código do município) e GID_RA (identificador da Região Administrativa). Esse enriquecimento é fundamental para permitir análises multiescala, possibilitando tanto caracterizações municipais quanto agregações regionais.</w:t>
      </w:r>
    </w:p>
    <w:p w14:paraId="69763852" w14:textId="77777777" w:rsidR="008F7B77" w:rsidRDefault="00000000">
      <w:pPr>
        <w:spacing w:before="240" w:after="120"/>
        <w:jc w:val="center"/>
      </w:pPr>
      <w:r>
        <w:rPr>
          <w:i/>
          <w:color w:val="666666"/>
          <w:sz w:val="20"/>
        </w:rPr>
        <w:t>Figura 2 – Recorte espacial e enriquecimento de atributos</w:t>
      </w:r>
    </w:p>
    <w:p w14:paraId="775B825E" w14:textId="77777777" w:rsidR="008F7B77" w:rsidRDefault="00000000">
      <w:pPr>
        <w:jc w:val="center"/>
      </w:pPr>
      <w:r>
        <w:rPr>
          <w:i/>
          <w:color w:val="969696"/>
          <w:sz w:val="18"/>
        </w:rPr>
        <w:t>[Figura a ser inserida: passo2.png]</w:t>
      </w:r>
    </w:p>
    <w:p w14:paraId="0CA55586" w14:textId="77777777" w:rsidR="008F7B77" w:rsidRDefault="00000000">
      <w:pPr>
        <w:pStyle w:val="Ttulo3"/>
      </w:pPr>
      <w:r>
        <w:rPr>
          <w:color w:val="003366"/>
        </w:rPr>
        <w:lastRenderedPageBreak/>
        <w:t>2.3.2. Filtragem de Ruído Urbano</w:t>
      </w:r>
    </w:p>
    <w:p w14:paraId="3DCEB572" w14:textId="77777777" w:rsidR="008F7B77" w:rsidRDefault="00000000">
      <w:pPr>
        <w:spacing w:before="120" w:after="120"/>
        <w:jc w:val="both"/>
      </w:pPr>
      <w:r>
        <w:rPr>
          <w:rFonts w:ascii="Calibri" w:hAnsi="Calibri"/>
        </w:rPr>
        <w:t>Para remover vias urbanas que não caracterizam a malha vicinal, foram aplicados dois filtros espaciais complementares. Primeiro, realizou-se uma interseção com a camada de Faces de Logradouro do IBGE (Censo 2022), utilizando um buffer de 10 metros. Esse procedimento remove vias intraquadra (ruas locais) e evita superestimação causada pelo mapeamento denso característico de áreas urbanas no OpenStreetMap. Em seguida, aplicou-se uma segunda interseção com a camada de Áreas Urbanizadas do IBGE (2019), assegurando o alinhamento com os perímetros urbanos oficialmente delimitados. Essa estratégia dupla reduz o viés metropolitano e garante que apenas vias com características rurais ou de acesso sejam mantidas na base.</w:t>
      </w:r>
    </w:p>
    <w:p w14:paraId="3E139FFE" w14:textId="77777777" w:rsidR="008F7B77" w:rsidRDefault="00000000">
      <w:pPr>
        <w:spacing w:before="240" w:after="120"/>
        <w:jc w:val="center"/>
      </w:pPr>
      <w:r>
        <w:rPr>
          <w:i/>
          <w:color w:val="666666"/>
          <w:sz w:val="20"/>
        </w:rPr>
        <w:t>Figura 3 – Filtragem de áreas urbanas e faces de logradouro</w:t>
      </w:r>
    </w:p>
    <w:p w14:paraId="11EDBB5A" w14:textId="77777777" w:rsidR="008F7B77" w:rsidRDefault="00000000">
      <w:pPr>
        <w:jc w:val="center"/>
      </w:pPr>
      <w:r>
        <w:rPr>
          <w:i/>
          <w:color w:val="969696"/>
          <w:sz w:val="18"/>
        </w:rPr>
        <w:t>[Figura a ser inserida: passo3.png]</w:t>
      </w:r>
    </w:p>
    <w:p w14:paraId="68392AA2" w14:textId="77777777" w:rsidR="008F7B77" w:rsidRDefault="00000000">
      <w:pPr>
        <w:pStyle w:val="Ttulo3"/>
      </w:pPr>
      <w:r>
        <w:rPr>
          <w:color w:val="003366"/>
        </w:rPr>
        <w:t>2.3.3. Subtração da Rede Estadual</w:t>
      </w:r>
    </w:p>
    <w:p w14:paraId="742578DE" w14:textId="77777777" w:rsidR="008F7B77" w:rsidRDefault="00000000">
      <w:pPr>
        <w:spacing w:before="120" w:after="120"/>
        <w:jc w:val="both"/>
      </w:pPr>
      <w:r>
        <w:rPr>
          <w:rFonts w:ascii="Calibri" w:hAnsi="Calibri"/>
        </w:rPr>
        <w:t>Para evitar duplicidade entre a malha estadual (DER/SP) e a malha vicinal estimada, aplicou-se um buffer de 60 a 100 metros sobre os eixos rodoviários estaduais cadastrados. Essas margens ampliadas foram dimensionadas para absorver imprecisões de alinhamento geométrico entre as bases OSM e DER/SP, além de evitar a inclusão de vicinais estritamente paralelas às rodovias estaduais. Todas as vias OSM que interceptam essa máscara de exclusão foram descartadas, garantindo que a malha resultante seja composta exclusivamente por rodovias municipais e estradas vicinais, sem sobreposição com a rede de responsabilidade estadual.</w:t>
      </w:r>
    </w:p>
    <w:p w14:paraId="5C9ACBB1" w14:textId="77777777" w:rsidR="008F7B77" w:rsidRDefault="00000000">
      <w:pPr>
        <w:spacing w:before="240" w:after="120"/>
        <w:jc w:val="center"/>
      </w:pPr>
      <w:r>
        <w:rPr>
          <w:i/>
          <w:color w:val="666666"/>
          <w:sz w:val="20"/>
        </w:rPr>
        <w:t>Figura 4 – Subtração da rede estadual (DER/SP)</w:t>
      </w:r>
    </w:p>
    <w:p w14:paraId="398526A2" w14:textId="77777777" w:rsidR="008F7B77" w:rsidRDefault="00000000">
      <w:pPr>
        <w:jc w:val="center"/>
      </w:pPr>
      <w:r>
        <w:rPr>
          <w:i/>
          <w:color w:val="969696"/>
          <w:sz w:val="18"/>
        </w:rPr>
        <w:t>[Figura a ser inserida: passo4.png]</w:t>
      </w:r>
    </w:p>
    <w:p w14:paraId="4427ECD1" w14:textId="77777777" w:rsidR="008F7B77" w:rsidRDefault="00000000">
      <w:pPr>
        <w:pStyle w:val="Ttulo3"/>
      </w:pPr>
      <w:r>
        <w:rPr>
          <w:color w:val="003366"/>
        </w:rPr>
        <w:t>2.3.4. Seleção Final de Vicinais</w:t>
      </w:r>
    </w:p>
    <w:p w14:paraId="4AB4F135" w14:textId="77777777" w:rsidR="008F7B77" w:rsidRDefault="00000000">
      <w:pPr>
        <w:spacing w:before="120" w:after="120"/>
        <w:jc w:val="both"/>
      </w:pPr>
      <w:r>
        <w:rPr>
          <w:rFonts w:ascii="Calibri" w:hAnsi="Calibri"/>
        </w:rPr>
        <w:t>Após as etapas de filtragem espacial, aplicaram-se três critérios lógicos finais para seleção dos segmentos que compõem a malha vicinal estimada, conforme sintetizado na Tabela 2.</w:t>
      </w:r>
    </w:p>
    <w:tbl>
      <w:tblPr>
        <w:tblStyle w:val="GradeClara-nfase1"/>
        <w:tblW w:w="0" w:type="auto"/>
        <w:tblLook w:val="04A0" w:firstRow="1" w:lastRow="0" w:firstColumn="1" w:lastColumn="0" w:noHBand="0" w:noVBand="1"/>
      </w:tblPr>
      <w:tblGrid>
        <w:gridCol w:w="3128"/>
        <w:gridCol w:w="3128"/>
        <w:gridCol w:w="3129"/>
      </w:tblGrid>
      <w:tr w:rsidR="008F7B77" w14:paraId="64EF6234" w14:textId="77777777" w:rsidTr="008F7B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1A964B95" w14:textId="77777777" w:rsidR="008F7B77" w:rsidRDefault="00000000">
            <w:r>
              <w:rPr>
                <w:sz w:val="20"/>
              </w:rPr>
              <w:t>Critério</w:t>
            </w:r>
          </w:p>
        </w:tc>
        <w:tc>
          <w:tcPr>
            <w:tcW w:w="3135" w:type="dxa"/>
          </w:tcPr>
          <w:p w14:paraId="12DE57FE" w14:textId="77777777" w:rsidR="008F7B77" w:rsidRDefault="00000000">
            <w:pPr>
              <w:cnfStyle w:val="100000000000" w:firstRow="1" w:lastRow="0" w:firstColumn="0" w:lastColumn="0" w:oddVBand="0" w:evenVBand="0" w:oddHBand="0" w:evenHBand="0" w:firstRowFirstColumn="0" w:firstRowLastColumn="0" w:lastRowFirstColumn="0" w:lastRowLastColumn="0"/>
            </w:pPr>
            <w:r>
              <w:rPr>
                <w:sz w:val="20"/>
              </w:rPr>
              <w:t>Condição</w:t>
            </w:r>
          </w:p>
        </w:tc>
        <w:tc>
          <w:tcPr>
            <w:tcW w:w="3135" w:type="dxa"/>
          </w:tcPr>
          <w:p w14:paraId="76E25BF9" w14:textId="77777777" w:rsidR="008F7B77" w:rsidRDefault="00000000">
            <w:pPr>
              <w:cnfStyle w:val="100000000000" w:firstRow="1" w:lastRow="0" w:firstColumn="0" w:lastColumn="0" w:oddVBand="0" w:evenVBand="0" w:oddHBand="0" w:evenHBand="0" w:firstRowFirstColumn="0" w:firstRowLastColumn="0" w:lastRowFirstColumn="0" w:lastRowLastColumn="0"/>
            </w:pPr>
            <w:r>
              <w:rPr>
                <w:sz w:val="20"/>
              </w:rPr>
              <w:t>Justificativa</w:t>
            </w:r>
          </w:p>
        </w:tc>
      </w:tr>
      <w:tr w:rsidR="008F7B77" w14:paraId="5D87516B" w14:textId="77777777" w:rsidTr="008F7B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4E9763BE" w14:textId="77777777" w:rsidR="008F7B77" w:rsidRDefault="00000000">
            <w:r>
              <w:rPr>
                <w:sz w:val="20"/>
              </w:rPr>
              <w:t>Exclusão urbana</w:t>
            </w:r>
          </w:p>
        </w:tc>
        <w:tc>
          <w:tcPr>
            <w:tcW w:w="3135" w:type="dxa"/>
          </w:tcPr>
          <w:p w14:paraId="20DA5DB8" w14:textId="77777777" w:rsidR="008F7B77" w:rsidRDefault="00000000">
            <w:pPr>
              <w:cnfStyle w:val="000000100000" w:firstRow="0" w:lastRow="0" w:firstColumn="0" w:lastColumn="0" w:oddVBand="0" w:evenVBand="0" w:oddHBand="1" w:evenHBand="0" w:firstRowFirstColumn="0" w:firstRowLastColumn="0" w:lastRowFirstColumn="0" w:lastRowLastColumn="0"/>
            </w:pPr>
            <w:r>
              <w:rPr>
                <w:sz w:val="20"/>
              </w:rPr>
              <w:t>area_urb = 0</w:t>
            </w:r>
          </w:p>
        </w:tc>
        <w:tc>
          <w:tcPr>
            <w:tcW w:w="3135" w:type="dxa"/>
          </w:tcPr>
          <w:p w14:paraId="744A32AF" w14:textId="77777777" w:rsidR="008F7B77" w:rsidRDefault="00000000">
            <w:pPr>
              <w:cnfStyle w:val="000000100000" w:firstRow="0" w:lastRow="0" w:firstColumn="0" w:lastColumn="0" w:oddVBand="0" w:evenVBand="0" w:oddHBand="1" w:evenHBand="0" w:firstRowFirstColumn="0" w:firstRowLastColumn="0" w:lastRowFirstColumn="0" w:lastRowLastColumn="0"/>
            </w:pPr>
            <w:r>
              <w:rPr>
                <w:sz w:val="20"/>
              </w:rPr>
              <w:t>Evita inflar malha com ruas locais</w:t>
            </w:r>
          </w:p>
        </w:tc>
      </w:tr>
      <w:tr w:rsidR="008F7B77" w14:paraId="280C582B" w14:textId="77777777" w:rsidTr="008F7B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2B4B5ACD" w14:textId="77777777" w:rsidR="008F7B77" w:rsidRDefault="00000000">
            <w:r>
              <w:rPr>
                <w:sz w:val="20"/>
              </w:rPr>
              <w:t>Exclusão logradouro</w:t>
            </w:r>
          </w:p>
        </w:tc>
        <w:tc>
          <w:tcPr>
            <w:tcW w:w="3135" w:type="dxa"/>
          </w:tcPr>
          <w:p w14:paraId="04E737A7" w14:textId="77777777" w:rsidR="008F7B77" w:rsidRDefault="00000000">
            <w:pPr>
              <w:cnfStyle w:val="000000010000" w:firstRow="0" w:lastRow="0" w:firstColumn="0" w:lastColumn="0" w:oddVBand="0" w:evenVBand="0" w:oddHBand="0" w:evenHBand="1" w:firstRowFirstColumn="0" w:firstRowLastColumn="0" w:lastRowFirstColumn="0" w:lastRowLastColumn="0"/>
            </w:pPr>
            <w:r>
              <w:rPr>
                <w:sz w:val="20"/>
              </w:rPr>
              <w:t>path IS NULL</w:t>
            </w:r>
          </w:p>
        </w:tc>
        <w:tc>
          <w:tcPr>
            <w:tcW w:w="3135" w:type="dxa"/>
          </w:tcPr>
          <w:p w14:paraId="354EB897" w14:textId="77777777" w:rsidR="008F7B77" w:rsidRDefault="00000000">
            <w:pPr>
              <w:cnfStyle w:val="000000010000" w:firstRow="0" w:lastRow="0" w:firstColumn="0" w:lastColumn="0" w:oddVBand="0" w:evenVBand="0" w:oddHBand="0" w:evenHBand="1" w:firstRowFirstColumn="0" w:firstRowLastColumn="0" w:lastRowFirstColumn="0" w:lastRowLastColumn="0"/>
            </w:pPr>
            <w:r>
              <w:rPr>
                <w:sz w:val="20"/>
              </w:rPr>
              <w:t>Retira vias censitárias urbanas</w:t>
            </w:r>
          </w:p>
        </w:tc>
      </w:tr>
      <w:tr w:rsidR="008F7B77" w14:paraId="0ACC99C6" w14:textId="77777777" w:rsidTr="008F7B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7C9F1EE4" w14:textId="77777777" w:rsidR="008F7B77" w:rsidRDefault="00000000">
            <w:r>
              <w:rPr>
                <w:sz w:val="20"/>
              </w:rPr>
              <w:t>Exclusão DER</w:t>
            </w:r>
          </w:p>
        </w:tc>
        <w:tc>
          <w:tcPr>
            <w:tcW w:w="3135" w:type="dxa"/>
          </w:tcPr>
          <w:p w14:paraId="7F7116A6" w14:textId="77777777" w:rsidR="008F7B77" w:rsidRDefault="00000000">
            <w:pPr>
              <w:cnfStyle w:val="000000100000" w:firstRow="0" w:lastRow="0" w:firstColumn="0" w:lastColumn="0" w:oddVBand="0" w:evenVBand="0" w:oddHBand="1" w:evenHBand="0" w:firstRowFirstColumn="0" w:firstRowLastColumn="0" w:lastRowFirstColumn="0" w:lastRowLastColumn="0"/>
            </w:pPr>
            <w:r>
              <w:rPr>
                <w:sz w:val="20"/>
              </w:rPr>
              <w:t>malha_der = 0</w:t>
            </w:r>
          </w:p>
        </w:tc>
        <w:tc>
          <w:tcPr>
            <w:tcW w:w="3135" w:type="dxa"/>
          </w:tcPr>
          <w:p w14:paraId="307EC808" w14:textId="77777777" w:rsidR="008F7B77" w:rsidRDefault="00000000">
            <w:pPr>
              <w:cnfStyle w:val="000000100000" w:firstRow="0" w:lastRow="0" w:firstColumn="0" w:lastColumn="0" w:oddVBand="0" w:evenVBand="0" w:oddHBand="1" w:evenHBand="0" w:firstRowFirstColumn="0" w:firstRowLastColumn="0" w:lastRowFirstColumn="0" w:lastRowLastColumn="0"/>
            </w:pPr>
            <w:r>
              <w:rPr>
                <w:sz w:val="20"/>
              </w:rPr>
              <w:t>Remove sobreposições com rede estadual</w:t>
            </w:r>
          </w:p>
        </w:tc>
      </w:tr>
    </w:tbl>
    <w:p w14:paraId="6634039D" w14:textId="77777777" w:rsidR="008F7B77" w:rsidRDefault="00000000">
      <w:pPr>
        <w:jc w:val="center"/>
      </w:pPr>
      <w:r>
        <w:rPr>
          <w:i/>
          <w:color w:val="666666"/>
          <w:sz w:val="20"/>
        </w:rPr>
        <w:t>Tabela 2 – Critérios de seleção final de segmentos vicinais</w:t>
      </w:r>
    </w:p>
    <w:p w14:paraId="747B9132" w14:textId="77777777" w:rsidR="008F7B77" w:rsidRDefault="00000000">
      <w:pPr>
        <w:spacing w:before="120" w:after="120"/>
        <w:jc w:val="both"/>
      </w:pPr>
      <w:r>
        <w:rPr>
          <w:rFonts w:ascii="Calibri" w:hAnsi="Calibri"/>
        </w:rPr>
        <w:t>A aplicação conjunta desses três critérios resulta em uma base final refinada, com alta especificidade para caracterização da malha vicinal paulista.</w:t>
      </w:r>
    </w:p>
    <w:p w14:paraId="437E3256" w14:textId="77777777" w:rsidR="008F7B77" w:rsidRDefault="00000000">
      <w:pPr>
        <w:spacing w:before="240" w:after="120"/>
        <w:jc w:val="center"/>
      </w:pPr>
      <w:r>
        <w:rPr>
          <w:i/>
          <w:color w:val="666666"/>
          <w:sz w:val="20"/>
        </w:rPr>
        <w:t>Figura 5 – Aplicação de critérios lógicos finais</w:t>
      </w:r>
    </w:p>
    <w:p w14:paraId="5B5DDACB" w14:textId="77777777" w:rsidR="008F7B77" w:rsidRDefault="00000000">
      <w:pPr>
        <w:jc w:val="center"/>
      </w:pPr>
      <w:r>
        <w:rPr>
          <w:i/>
          <w:color w:val="969696"/>
          <w:sz w:val="18"/>
        </w:rPr>
        <w:t>[Figura a ser inserida: passo4.2.png]</w:t>
      </w:r>
    </w:p>
    <w:p w14:paraId="3A9F7783" w14:textId="77777777" w:rsidR="008F7B77" w:rsidRDefault="00000000">
      <w:r>
        <w:br w:type="page"/>
      </w:r>
    </w:p>
    <w:p w14:paraId="12B8A74C" w14:textId="77777777" w:rsidR="008F7B77" w:rsidRDefault="00000000">
      <w:pPr>
        <w:pStyle w:val="Ttulo1"/>
      </w:pPr>
      <w:r>
        <w:rPr>
          <w:color w:val="003366"/>
        </w:rPr>
        <w:lastRenderedPageBreak/>
        <w:t>3. RESULTADOS E DISCUSSÃO</w:t>
      </w:r>
    </w:p>
    <w:p w14:paraId="50F6C5C2" w14:textId="77777777" w:rsidR="008F7B77" w:rsidRDefault="00000000">
      <w:pPr>
        <w:spacing w:before="120" w:after="120"/>
        <w:jc w:val="both"/>
      </w:pPr>
      <w:r>
        <w:rPr>
          <w:rFonts w:ascii="Calibri" w:hAnsi="Calibri"/>
        </w:rPr>
        <w:t>Os processamentos resultaram em duas bases geoespaciais complementares: (1) Malha Vicinal (OSM), contendo exclusivamente vias municipais estimadas a partir do OpenStreetMap após filtragens; e (2) Malha Total (OSM + DER), que integra a malha vicinal estimada com o cadastro oficial de rodovias estaduais do DER/SP. A Tabela 3 sintetiza os principais indicadores obtidos.</w:t>
      </w:r>
    </w:p>
    <w:tbl>
      <w:tblPr>
        <w:tblStyle w:val="GradeClara-nfase1"/>
        <w:tblW w:w="0" w:type="auto"/>
        <w:tblLook w:val="04A0" w:firstRow="1" w:lastRow="0" w:firstColumn="1" w:lastColumn="0" w:noHBand="0" w:noVBand="1"/>
      </w:tblPr>
      <w:tblGrid>
        <w:gridCol w:w="3127"/>
        <w:gridCol w:w="3129"/>
        <w:gridCol w:w="3129"/>
      </w:tblGrid>
      <w:tr w:rsidR="008F7B77" w14:paraId="2468D5D1" w14:textId="77777777" w:rsidTr="008F7B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260D7154" w14:textId="77777777" w:rsidR="008F7B77" w:rsidRDefault="00000000">
            <w:r>
              <w:rPr>
                <w:sz w:val="20"/>
              </w:rPr>
              <w:t>Indicador</w:t>
            </w:r>
          </w:p>
        </w:tc>
        <w:tc>
          <w:tcPr>
            <w:tcW w:w="3135" w:type="dxa"/>
          </w:tcPr>
          <w:p w14:paraId="6CC172CA" w14:textId="77777777" w:rsidR="008F7B77" w:rsidRDefault="00000000">
            <w:pPr>
              <w:cnfStyle w:val="100000000000" w:firstRow="1" w:lastRow="0" w:firstColumn="0" w:lastColumn="0" w:oddVBand="0" w:evenVBand="0" w:oddHBand="0" w:evenHBand="0" w:firstRowFirstColumn="0" w:firstRowLastColumn="0" w:lastRowFirstColumn="0" w:lastRowLastColumn="0"/>
            </w:pPr>
            <w:r>
              <w:rPr>
                <w:sz w:val="20"/>
              </w:rPr>
              <w:t>Malha Vicinal (OSM)</w:t>
            </w:r>
          </w:p>
        </w:tc>
        <w:tc>
          <w:tcPr>
            <w:tcW w:w="3135" w:type="dxa"/>
          </w:tcPr>
          <w:p w14:paraId="545D8FF7" w14:textId="77777777" w:rsidR="008F7B77" w:rsidRDefault="00000000">
            <w:pPr>
              <w:cnfStyle w:val="100000000000" w:firstRow="1" w:lastRow="0" w:firstColumn="0" w:lastColumn="0" w:oddVBand="0" w:evenVBand="0" w:oddHBand="0" w:evenHBand="0" w:firstRowFirstColumn="0" w:firstRowLastColumn="0" w:lastRowFirstColumn="0" w:lastRowLastColumn="0"/>
            </w:pPr>
            <w:r>
              <w:rPr>
                <w:sz w:val="20"/>
              </w:rPr>
              <w:t>Malha Total (OSM+DER)</w:t>
            </w:r>
          </w:p>
        </w:tc>
      </w:tr>
      <w:tr w:rsidR="008F7B77" w14:paraId="610C37DF" w14:textId="77777777" w:rsidTr="008F7B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64DF79A8" w14:textId="77777777" w:rsidR="008F7B77" w:rsidRDefault="00000000">
            <w:r>
              <w:rPr>
                <w:sz w:val="20"/>
              </w:rPr>
              <w:t>Extensão Total</w:t>
            </w:r>
          </w:p>
        </w:tc>
        <w:tc>
          <w:tcPr>
            <w:tcW w:w="3135" w:type="dxa"/>
          </w:tcPr>
          <w:p w14:paraId="6C4B0DDA" w14:textId="77777777" w:rsidR="008F7B77" w:rsidRDefault="00000000">
            <w:pPr>
              <w:cnfStyle w:val="000000100000" w:firstRow="0" w:lastRow="0" w:firstColumn="0" w:lastColumn="0" w:oddVBand="0" w:evenVBand="0" w:oddHBand="1" w:evenHBand="0" w:firstRowFirstColumn="0" w:firstRowLastColumn="0" w:lastRowFirstColumn="0" w:lastRowLastColumn="0"/>
            </w:pPr>
            <w:r>
              <w:rPr>
                <w:sz w:val="20"/>
              </w:rPr>
              <w:t>25.918,60 km</w:t>
            </w:r>
          </w:p>
        </w:tc>
        <w:tc>
          <w:tcPr>
            <w:tcW w:w="3135" w:type="dxa"/>
          </w:tcPr>
          <w:p w14:paraId="165F4CA6" w14:textId="77777777" w:rsidR="008F7B77" w:rsidRDefault="00000000">
            <w:pPr>
              <w:cnfStyle w:val="000000100000" w:firstRow="0" w:lastRow="0" w:firstColumn="0" w:lastColumn="0" w:oddVBand="0" w:evenVBand="0" w:oddHBand="1" w:evenHBand="0" w:firstRowFirstColumn="0" w:firstRowLastColumn="0" w:lastRowFirstColumn="0" w:lastRowLastColumn="0"/>
            </w:pPr>
            <w:r>
              <w:rPr>
                <w:sz w:val="20"/>
              </w:rPr>
              <w:t>47.666,00 km</w:t>
            </w:r>
          </w:p>
        </w:tc>
      </w:tr>
      <w:tr w:rsidR="008F7B77" w14:paraId="2B5BA4D5" w14:textId="77777777" w:rsidTr="008F7B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2CC84F5D" w14:textId="77777777" w:rsidR="008F7B77" w:rsidRDefault="00000000">
            <w:r>
              <w:rPr>
                <w:sz w:val="20"/>
              </w:rPr>
              <w:t>Total Segmentos</w:t>
            </w:r>
          </w:p>
        </w:tc>
        <w:tc>
          <w:tcPr>
            <w:tcW w:w="3135" w:type="dxa"/>
          </w:tcPr>
          <w:p w14:paraId="1B996519" w14:textId="77777777" w:rsidR="008F7B77" w:rsidRDefault="00000000">
            <w:pPr>
              <w:cnfStyle w:val="000000010000" w:firstRow="0" w:lastRow="0" w:firstColumn="0" w:lastColumn="0" w:oddVBand="0" w:evenVBand="0" w:oddHBand="0" w:evenHBand="1" w:firstRowFirstColumn="0" w:firstRowLastColumn="0" w:lastRowFirstColumn="0" w:lastRowLastColumn="0"/>
            </w:pPr>
            <w:r>
              <w:rPr>
                <w:sz w:val="20"/>
              </w:rPr>
              <w:t>7.417 segmentos</w:t>
            </w:r>
          </w:p>
        </w:tc>
        <w:tc>
          <w:tcPr>
            <w:tcW w:w="3135" w:type="dxa"/>
          </w:tcPr>
          <w:p w14:paraId="66C84067" w14:textId="77777777" w:rsidR="008F7B77" w:rsidRDefault="00000000">
            <w:pPr>
              <w:cnfStyle w:val="000000010000" w:firstRow="0" w:lastRow="0" w:firstColumn="0" w:lastColumn="0" w:oddVBand="0" w:evenVBand="0" w:oddHBand="0" w:evenHBand="1" w:firstRowFirstColumn="0" w:firstRowLastColumn="0" w:lastRowFirstColumn="0" w:lastRowLastColumn="0"/>
            </w:pPr>
            <w:r>
              <w:rPr>
                <w:sz w:val="20"/>
              </w:rPr>
              <w:t>~14.000 segmentos</w:t>
            </w:r>
          </w:p>
        </w:tc>
      </w:tr>
      <w:tr w:rsidR="008F7B77" w14:paraId="5AC1633E" w14:textId="77777777" w:rsidTr="008F7B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75CF4B0E" w14:textId="77777777" w:rsidR="008F7B77" w:rsidRDefault="00000000">
            <w:r>
              <w:rPr>
                <w:sz w:val="20"/>
              </w:rPr>
              <w:t>Média Municipal</w:t>
            </w:r>
          </w:p>
        </w:tc>
        <w:tc>
          <w:tcPr>
            <w:tcW w:w="3135" w:type="dxa"/>
          </w:tcPr>
          <w:p w14:paraId="2C7F4376" w14:textId="77777777" w:rsidR="008F7B77" w:rsidRDefault="00000000">
            <w:pPr>
              <w:cnfStyle w:val="000000100000" w:firstRow="0" w:lastRow="0" w:firstColumn="0" w:lastColumn="0" w:oddVBand="0" w:evenVBand="0" w:oddHBand="1" w:evenHBand="0" w:firstRowFirstColumn="0" w:firstRowLastColumn="0" w:lastRowFirstColumn="0" w:lastRowLastColumn="0"/>
            </w:pPr>
            <w:r>
              <w:rPr>
                <w:sz w:val="20"/>
              </w:rPr>
              <w:t>40,18 km/município</w:t>
            </w:r>
          </w:p>
        </w:tc>
        <w:tc>
          <w:tcPr>
            <w:tcW w:w="3135" w:type="dxa"/>
          </w:tcPr>
          <w:p w14:paraId="294BC495" w14:textId="77777777" w:rsidR="008F7B77" w:rsidRDefault="00000000">
            <w:pPr>
              <w:cnfStyle w:val="000000100000" w:firstRow="0" w:lastRow="0" w:firstColumn="0" w:lastColumn="0" w:oddVBand="0" w:evenVBand="0" w:oddHBand="1" w:evenHBand="0" w:firstRowFirstColumn="0" w:firstRowLastColumn="0" w:lastRowFirstColumn="0" w:lastRowLastColumn="0"/>
            </w:pPr>
            <w:r>
              <w:rPr>
                <w:sz w:val="20"/>
              </w:rPr>
              <w:t>73,90 km/município</w:t>
            </w:r>
          </w:p>
        </w:tc>
      </w:tr>
      <w:tr w:rsidR="008F7B77" w14:paraId="724E5F70" w14:textId="77777777" w:rsidTr="008F7B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48091691" w14:textId="77777777" w:rsidR="008F7B77" w:rsidRDefault="00000000">
            <w:r>
              <w:rPr>
                <w:sz w:val="20"/>
              </w:rPr>
              <w:t>Densidade Espacial</w:t>
            </w:r>
          </w:p>
        </w:tc>
        <w:tc>
          <w:tcPr>
            <w:tcW w:w="3135" w:type="dxa"/>
          </w:tcPr>
          <w:p w14:paraId="1FB398BC" w14:textId="77777777" w:rsidR="008F7B77" w:rsidRDefault="00000000">
            <w:pPr>
              <w:cnfStyle w:val="000000010000" w:firstRow="0" w:lastRow="0" w:firstColumn="0" w:lastColumn="0" w:oddVBand="0" w:evenVBand="0" w:oddHBand="0" w:evenHBand="1" w:firstRowFirstColumn="0" w:firstRowLastColumn="0" w:lastRowFirstColumn="0" w:lastRowLastColumn="0"/>
            </w:pPr>
            <w:r>
              <w:rPr>
                <w:sz w:val="20"/>
              </w:rPr>
              <w:t>1.312 km/10.000 km²</w:t>
            </w:r>
          </w:p>
        </w:tc>
        <w:tc>
          <w:tcPr>
            <w:tcW w:w="3135" w:type="dxa"/>
          </w:tcPr>
          <w:p w14:paraId="47F738E4" w14:textId="77777777" w:rsidR="008F7B77" w:rsidRDefault="00000000">
            <w:pPr>
              <w:cnfStyle w:val="000000010000" w:firstRow="0" w:lastRow="0" w:firstColumn="0" w:lastColumn="0" w:oddVBand="0" w:evenVBand="0" w:oddHBand="0" w:evenHBand="1" w:firstRowFirstColumn="0" w:firstRowLastColumn="0" w:lastRowFirstColumn="0" w:lastRowLastColumn="0"/>
            </w:pPr>
            <w:r>
              <w:rPr>
                <w:sz w:val="20"/>
              </w:rPr>
              <w:t>2.413 km/10.000 km²</w:t>
            </w:r>
          </w:p>
        </w:tc>
      </w:tr>
      <w:tr w:rsidR="008F7B77" w14:paraId="4FFC4DD9" w14:textId="77777777" w:rsidTr="008F7B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43B03902" w14:textId="77777777" w:rsidR="008F7B77" w:rsidRDefault="00000000">
            <w:r>
              <w:rPr>
                <w:sz w:val="20"/>
              </w:rPr>
              <w:t>Densidade Populacional</w:t>
            </w:r>
          </w:p>
        </w:tc>
        <w:tc>
          <w:tcPr>
            <w:tcW w:w="3135" w:type="dxa"/>
          </w:tcPr>
          <w:p w14:paraId="5A87DC2A" w14:textId="77777777" w:rsidR="008F7B77" w:rsidRDefault="00000000">
            <w:pPr>
              <w:cnfStyle w:val="000000100000" w:firstRow="0" w:lastRow="0" w:firstColumn="0" w:lastColumn="0" w:oddVBand="0" w:evenVBand="0" w:oddHBand="1" w:evenHBand="0" w:firstRowFirstColumn="0" w:firstRowLastColumn="0" w:lastRowFirstColumn="0" w:lastRowLastColumn="0"/>
            </w:pPr>
            <w:r>
              <w:rPr>
                <w:sz w:val="20"/>
              </w:rPr>
              <w:t>35 km/10.000 hab</w:t>
            </w:r>
          </w:p>
        </w:tc>
        <w:tc>
          <w:tcPr>
            <w:tcW w:w="3135" w:type="dxa"/>
          </w:tcPr>
          <w:p w14:paraId="29161A51" w14:textId="77777777" w:rsidR="008F7B77" w:rsidRDefault="00000000">
            <w:pPr>
              <w:cnfStyle w:val="000000100000" w:firstRow="0" w:lastRow="0" w:firstColumn="0" w:lastColumn="0" w:oddVBand="0" w:evenVBand="0" w:oddHBand="1" w:evenHBand="0" w:firstRowFirstColumn="0" w:firstRowLastColumn="0" w:lastRowFirstColumn="0" w:lastRowLastColumn="0"/>
            </w:pPr>
            <w:r>
              <w:rPr>
                <w:sz w:val="20"/>
              </w:rPr>
              <w:t>103 km/10.000 hab</w:t>
            </w:r>
          </w:p>
        </w:tc>
      </w:tr>
    </w:tbl>
    <w:p w14:paraId="1D434F0F" w14:textId="77777777" w:rsidR="008F7B77" w:rsidRDefault="00000000">
      <w:pPr>
        <w:jc w:val="center"/>
      </w:pPr>
      <w:r>
        <w:rPr>
          <w:i/>
          <w:color w:val="666666"/>
          <w:sz w:val="20"/>
        </w:rPr>
        <w:t>Tabela 3 – Síntese dos resultados: indicadores globais</w:t>
      </w:r>
    </w:p>
    <w:p w14:paraId="3A3CA208" w14:textId="77777777" w:rsidR="008F7B77" w:rsidRDefault="00000000">
      <w:pPr>
        <w:pStyle w:val="Ttulo2"/>
      </w:pPr>
      <w:r>
        <w:rPr>
          <w:color w:val="003366"/>
        </w:rPr>
        <w:t>3.1. Análise em Escala Municipal</w:t>
      </w:r>
    </w:p>
    <w:p w14:paraId="4320CD7F" w14:textId="77777777" w:rsidR="008F7B77" w:rsidRDefault="00000000">
      <w:pPr>
        <w:pStyle w:val="Ttulo3"/>
      </w:pPr>
      <w:r>
        <w:rPr>
          <w:color w:val="003366"/>
        </w:rPr>
        <w:t>3.1.1. Extensão e Distribuição Territorial</w:t>
      </w:r>
    </w:p>
    <w:p w14:paraId="5C784AA4" w14:textId="77777777" w:rsidR="008F7B77" w:rsidRDefault="00000000">
      <w:pPr>
        <w:spacing w:before="120" w:after="120"/>
        <w:jc w:val="both"/>
      </w:pPr>
      <w:r>
        <w:rPr>
          <w:rFonts w:ascii="Calibri" w:hAnsi="Calibri"/>
        </w:rPr>
        <w:t>Observa-se heterogeneidade expressiva entre os 645 municípios paulistas, com razão máxima/mínima que pode superar 500:1. A distribuição assimétrica indica que a maioria dos municípios apresenta extensões reduzidas, enquanto poucos concentram malhas mais extensas. Os centros metropolitanos tendem a registrar extensões absolutas menores, possivelmente refletindo a menor expressão proporcional do sistema vicinal em áreas mais urbanizadas.</w:t>
      </w:r>
    </w:p>
    <w:p w14:paraId="0DD456B0" w14:textId="77777777" w:rsidR="008F7B77" w:rsidRDefault="00000000">
      <w:pPr>
        <w:pStyle w:val="Commarcadores"/>
      </w:pPr>
      <w:r>
        <w:t>Cananéia: 74,69 km (maior extensão municipal identificada);</w:t>
      </w:r>
    </w:p>
    <w:p w14:paraId="260E6100" w14:textId="77777777" w:rsidR="008F7B77" w:rsidRDefault="00000000">
      <w:pPr>
        <w:pStyle w:val="Commarcadores"/>
      </w:pPr>
      <w:r>
        <w:t>Itaoca: 35,39 km (município com perfil agrícola na RA Itapeva);</w:t>
      </w:r>
    </w:p>
    <w:p w14:paraId="10AC0648" w14:textId="77777777" w:rsidR="008F7B77" w:rsidRDefault="00000000">
      <w:pPr>
        <w:pStyle w:val="Commarcadores"/>
      </w:pPr>
      <w:r>
        <w:t>Guarulhos: 25,36 km (município metropolitano com menor extensão relativa).</w:t>
      </w:r>
    </w:p>
    <w:p w14:paraId="3279C45C" w14:textId="77777777" w:rsidR="008F7B77" w:rsidRDefault="00000000">
      <w:pPr>
        <w:pStyle w:val="Ttulo3"/>
      </w:pPr>
      <w:r>
        <w:rPr>
          <w:color w:val="003366"/>
        </w:rPr>
        <w:t>3.1.2. Densidade Espacial</w:t>
      </w:r>
    </w:p>
    <w:p w14:paraId="046ECCDA" w14:textId="77777777" w:rsidR="008F7B77" w:rsidRDefault="00000000">
      <w:pPr>
        <w:spacing w:before="120" w:after="120"/>
        <w:jc w:val="both"/>
      </w:pPr>
      <w:r>
        <w:rPr>
          <w:rFonts w:ascii="Calibri" w:hAnsi="Calibri"/>
        </w:rPr>
        <w:t>A densidade espacial média estimada é de aproximadamente 1.312 km por 10.000 km². Municípios com perfil agrícola tendem a apresentar valores superiores à média, enquanto os metropolitanos frequentemente ficam abaixo, padrão possivelmente associado ao uso do solo. Casos extremos ilustram essa variabilidade: Itaoca (RA Itapeva) atinge +45,9% acima da média, enquanto São Sebastião registra −90,1% abaixo da média.</w:t>
      </w:r>
    </w:p>
    <w:p w14:paraId="29B568FD" w14:textId="77777777" w:rsidR="008F7B77" w:rsidRDefault="00000000">
      <w:pPr>
        <w:pStyle w:val="Ttulo3"/>
      </w:pPr>
      <w:r>
        <w:rPr>
          <w:color w:val="003366"/>
        </w:rPr>
        <w:t>3.1.3. Densidade Populacional</w:t>
      </w:r>
    </w:p>
    <w:p w14:paraId="2F8988AE" w14:textId="77777777" w:rsidR="008F7B77" w:rsidRDefault="00000000">
      <w:pPr>
        <w:spacing w:before="120" w:after="120"/>
        <w:jc w:val="both"/>
      </w:pPr>
      <w:r>
        <w:rPr>
          <w:rFonts w:ascii="Calibri" w:hAnsi="Calibri"/>
        </w:rPr>
        <w:t>A média estimada é de aproximadamente 35 km por 10.000 habitantes. Municípios menos populosos tendem a apresentar maior disponibilidade relativa de malha vicinal, o que sugere função predominantemente rural da infraestrutura. O contraste entre os extremos pode superar 500 vezes, evidenciando que a malha vicinal é proporcionalmente menos expressiva onde a população se concentra em núcleos urbanos densos.</w:t>
      </w:r>
    </w:p>
    <w:p w14:paraId="4A4D3BB9" w14:textId="77777777" w:rsidR="008F7B77" w:rsidRDefault="00000000">
      <w:pPr>
        <w:pStyle w:val="Commarcadores"/>
      </w:pPr>
      <w:r>
        <w:t>Ribeira: 111,5 km/10.000 hab (+217,9% acima da média);</w:t>
      </w:r>
    </w:p>
    <w:p w14:paraId="0FF9111C" w14:textId="77777777" w:rsidR="008F7B77" w:rsidRDefault="00000000">
      <w:pPr>
        <w:pStyle w:val="Commarcadores"/>
      </w:pPr>
      <w:r>
        <w:t>Guarulhos: 0,19 km/10.000 hab (−99,5% abaixo da média).</w:t>
      </w:r>
    </w:p>
    <w:p w14:paraId="61121E09" w14:textId="77777777" w:rsidR="008F7B77" w:rsidRDefault="00000000">
      <w:pPr>
        <w:pStyle w:val="Ttulo2"/>
      </w:pPr>
      <w:r>
        <w:rPr>
          <w:color w:val="003366"/>
        </w:rPr>
        <w:lastRenderedPageBreak/>
        <w:t>3.2. Análise em Escala Regional</w:t>
      </w:r>
    </w:p>
    <w:p w14:paraId="0F172853" w14:textId="77777777" w:rsidR="008F7B77" w:rsidRDefault="00000000">
      <w:pPr>
        <w:spacing w:before="120" w:after="120"/>
        <w:jc w:val="both"/>
      </w:pPr>
      <w:r>
        <w:rPr>
          <w:rFonts w:ascii="Calibri" w:hAnsi="Calibri"/>
        </w:rPr>
        <w:t>A análise por Região Administrativa (RA) apresenta menor heterogeneidade que a escala municipal, com razão máxima/mínima de aproximadamente 25:1, devido ao efeito de suavização pela agregação. Regiões do interior paulista, com perfil predominantemente agrícola, tendem a apresentar extensões superiores às metropolitanas.</w:t>
      </w:r>
    </w:p>
    <w:p w14:paraId="06729E98" w14:textId="77777777" w:rsidR="008F7B77" w:rsidRDefault="00000000">
      <w:pPr>
        <w:pStyle w:val="Ttulo3"/>
      </w:pPr>
      <w:r>
        <w:rPr>
          <w:color w:val="003366"/>
        </w:rPr>
        <w:t>3.2.1. Extensão por Região Administrativa</w:t>
      </w:r>
    </w:p>
    <w:p w14:paraId="763AE7A9" w14:textId="77777777" w:rsidR="008F7B77" w:rsidRDefault="00000000">
      <w:pPr>
        <w:pStyle w:val="Commarcadores"/>
      </w:pPr>
      <w:r>
        <w:t>RA Campinas: 3.584 km (1º lugar, 90 municípios);</w:t>
      </w:r>
    </w:p>
    <w:p w14:paraId="4CD6324F" w14:textId="77777777" w:rsidR="008F7B77" w:rsidRDefault="00000000">
      <w:pPr>
        <w:pStyle w:val="Commarcadores"/>
      </w:pPr>
      <w:r>
        <w:t>RA São José do Rio Preto: 2.625 km (2º lugar, 96 municípios);</w:t>
      </w:r>
    </w:p>
    <w:p w14:paraId="5054DA8A" w14:textId="77777777" w:rsidR="008F7B77" w:rsidRDefault="00000000">
      <w:pPr>
        <w:pStyle w:val="Commarcadores"/>
      </w:pPr>
      <w:r>
        <w:t>RA Presidente Prudente: 2.378 km (3º lugar, 53 municípios);</w:t>
      </w:r>
    </w:p>
    <w:p w14:paraId="6250B1CE" w14:textId="77777777" w:rsidR="008F7B77" w:rsidRDefault="00000000">
      <w:pPr>
        <w:pStyle w:val="Commarcadores"/>
      </w:pPr>
      <w:r>
        <w:t>RA Santos: 133 km (menor extensão, 9 municípios).</w:t>
      </w:r>
    </w:p>
    <w:p w14:paraId="4CC2053A" w14:textId="77777777" w:rsidR="008F7B77" w:rsidRDefault="00000000">
      <w:pPr>
        <w:pStyle w:val="Ttulo3"/>
      </w:pPr>
      <w:r>
        <w:rPr>
          <w:color w:val="003366"/>
        </w:rPr>
        <w:t>3.2.2. Densidade Populacional por RA</w:t>
      </w:r>
    </w:p>
    <w:p w14:paraId="4A4F504C" w14:textId="77777777" w:rsidR="008F7B77" w:rsidRDefault="00000000">
      <w:pPr>
        <w:spacing w:before="120" w:after="120"/>
        <w:jc w:val="both"/>
      </w:pPr>
      <w:r>
        <w:rPr>
          <w:rFonts w:ascii="Calibri" w:hAnsi="Calibri"/>
        </w:rPr>
        <w:t>A média regional é de aproximadamente 12 km por 10.000 habitantes. O padrão inversamente proporcional à urbanização se confirma na escala regional: RAs metropolitanas (RMSP, Campinas, Baixada Santista) tendem a valores reduzidos, enquanto RAs agrícolas (Presidente Prudente, Araçatuba, Itapeva) apresentam valores mais elevados.</w:t>
      </w:r>
    </w:p>
    <w:p w14:paraId="5FC83F5C" w14:textId="77777777" w:rsidR="008F7B77" w:rsidRDefault="00000000">
      <w:pPr>
        <w:pStyle w:val="Commarcadores"/>
      </w:pPr>
      <w:r>
        <w:t>RA Itapeva: 28,5 km/10.000 hab (+113% acima da média);</w:t>
      </w:r>
    </w:p>
    <w:p w14:paraId="20339EC4" w14:textId="77777777" w:rsidR="008F7B77" w:rsidRDefault="00000000">
      <w:pPr>
        <w:pStyle w:val="Commarcadores"/>
      </w:pPr>
      <w:r>
        <w:t>RA Registro: 50,7 km/10.000 hab (perfil rural acentuado);</w:t>
      </w:r>
    </w:p>
    <w:p w14:paraId="775E7FB8" w14:textId="77777777" w:rsidR="008F7B77" w:rsidRDefault="00000000">
      <w:pPr>
        <w:pStyle w:val="Commarcadores"/>
      </w:pPr>
      <w:r>
        <w:t>RMSP: 0,62 km/10.000 hab (−95% abaixo da média);</w:t>
      </w:r>
    </w:p>
    <w:p w14:paraId="7F56B0B9" w14:textId="77777777" w:rsidR="008F7B77" w:rsidRDefault="00000000">
      <w:pPr>
        <w:pStyle w:val="Commarcadores"/>
      </w:pPr>
      <w:r>
        <w:t>RA Santos: 2,29 km/10.000 hab (−91% abaixo da média).</w:t>
      </w:r>
    </w:p>
    <w:p w14:paraId="3BC6A537" w14:textId="77777777" w:rsidR="008F7B77" w:rsidRDefault="00000000">
      <w:pPr>
        <w:pStyle w:val="Ttulo2"/>
      </w:pPr>
      <w:r>
        <w:rPr>
          <w:color w:val="003366"/>
        </w:rPr>
        <w:t>3.3. Integração com Rede Estadual (Malha Total)</w:t>
      </w:r>
    </w:p>
    <w:p w14:paraId="4EBCFA22" w14:textId="77777777" w:rsidR="008F7B77" w:rsidRDefault="00000000">
      <w:pPr>
        <w:spacing w:before="120" w:after="120"/>
        <w:jc w:val="both"/>
      </w:pPr>
      <w:r>
        <w:rPr>
          <w:rFonts w:ascii="Calibri" w:hAnsi="Calibri"/>
        </w:rPr>
        <w:t>A integração com rodovias estaduais (DER) amplia significativamente a cobertura estimada. O incremento proporcional varia entre os municípios conforme a sobreposição entre as fontes e a presença de rodovias estaduais no território. Alguns municípios praticamente não apresentam incremento (baixa presença do DER), enquanto outros podem mais que quadruplicar sua extensão total.</w:t>
      </w:r>
    </w:p>
    <w:p w14:paraId="42D4CB4F" w14:textId="77777777" w:rsidR="008F7B77" w:rsidRDefault="00000000">
      <w:pPr>
        <w:pStyle w:val="Commarcadores"/>
      </w:pPr>
      <w:r>
        <w:t>Guarulhos: 25,36 km → 109,91 km (incremento de +333%);</w:t>
      </w:r>
    </w:p>
    <w:p w14:paraId="7888712F" w14:textId="77777777" w:rsidR="008F7B77" w:rsidRDefault="00000000">
      <w:pPr>
        <w:pStyle w:val="Commarcadores"/>
      </w:pPr>
      <w:r>
        <w:t>Itaberá: 34,12 km → 162,41 km (incremento de +376%);</w:t>
      </w:r>
    </w:p>
    <w:p w14:paraId="256B0FF6" w14:textId="77777777" w:rsidR="008F7B77" w:rsidRDefault="00000000">
      <w:pPr>
        <w:pStyle w:val="Commarcadores"/>
      </w:pPr>
      <w:r>
        <w:t>Itaoca: 35,39 km → 35,44 km (incremento marginal, ~0%).</w:t>
      </w:r>
    </w:p>
    <w:p w14:paraId="17501BD3" w14:textId="77777777" w:rsidR="008F7B77" w:rsidRDefault="00000000">
      <w:pPr>
        <w:pStyle w:val="Ttulo2"/>
      </w:pPr>
      <w:r>
        <w:rPr>
          <w:color w:val="003366"/>
        </w:rPr>
        <w:t>3.4. Discussão</w:t>
      </w:r>
    </w:p>
    <w:p w14:paraId="77481DC1" w14:textId="77777777" w:rsidR="008F7B77" w:rsidRDefault="00000000">
      <w:pPr>
        <w:spacing w:before="120" w:after="120"/>
        <w:jc w:val="both"/>
      </w:pPr>
      <w:r>
        <w:rPr>
          <w:rFonts w:ascii="Calibri" w:hAnsi="Calibri"/>
        </w:rPr>
        <w:t>Os resultados evidenciam padrões espaciais consistentes com a literatura sobre infraestrutura viária e desenvolvimento regional. A concentração de malha vicinal em municípios menos populosos e de perfil agrícola reflete a função histórica dessas vias como eixos de escoamento da produção rural e acesso a propriedades dispersas. Em contrapartida, áreas metropolitanas apresentam menor extensão relativa de vicinais, possivelmente devido à consolidação urbana e à preponderância de vias urbanas classificadas.</w:t>
      </w:r>
    </w:p>
    <w:p w14:paraId="24AA667B" w14:textId="77777777" w:rsidR="008F7B77" w:rsidRDefault="00000000">
      <w:pPr>
        <w:spacing w:before="120" w:after="120"/>
        <w:jc w:val="both"/>
      </w:pPr>
      <w:r>
        <w:rPr>
          <w:rFonts w:ascii="Calibri" w:hAnsi="Calibri"/>
        </w:rPr>
        <w:t xml:space="preserve">A heterogeneidade observada — razão de 500:1 na escala municipal e 25:1 na escala regional — sugere que decisões de planejamento e priorização de investimentos devem considerar ambas as escalas de análise. A escala municipal permite diagnósticos localizados e identificação de municípios atípicos, </w:t>
      </w:r>
      <w:r>
        <w:rPr>
          <w:rFonts w:ascii="Calibri" w:hAnsi="Calibri"/>
        </w:rPr>
        <w:lastRenderedPageBreak/>
        <w:t>enquanto a escala regional oferece visão estabilizada para políticas estaduais e alocação de recursos entre RAs.</w:t>
      </w:r>
    </w:p>
    <w:p w14:paraId="382A4FC8" w14:textId="77777777" w:rsidR="008F7B77" w:rsidRDefault="00000000">
      <w:pPr>
        <w:pBdr>
          <w:top w:val="single" w:sz="12" w:space="4" w:color="FFA500"/>
          <w:left w:val="single" w:sz="12" w:space="4" w:color="FFA500"/>
          <w:bottom w:val="single" w:sz="12" w:space="4" w:color="FFA500"/>
          <w:right w:val="single" w:sz="12" w:space="4" w:color="FFA500"/>
        </w:pBdr>
        <w:shd w:val="clear" w:color="auto" w:fill="FFF8DC"/>
        <w:spacing w:before="240" w:after="240"/>
        <w:ind w:left="567" w:right="567"/>
      </w:pPr>
      <w:r>
        <w:rPr>
          <w:b/>
          <w:color w:val="CC6600"/>
        </w:rPr>
        <w:t>⚠️ Limitações dos Resultados</w:t>
      </w:r>
      <w:r>
        <w:rPr>
          <w:b/>
          <w:color w:val="CC6600"/>
        </w:rPr>
        <w:br/>
      </w:r>
      <w:r>
        <w:rPr>
          <w:color w:val="333333"/>
          <w:sz w:val="20"/>
        </w:rPr>
        <w:t>Os valores apresentados são estimativas sujeitas a incertezas. Possíveis fontes de divergência incluem: (1) incompletude do OpenStreetMap em áreas de menor contribuição voluntária; (2) defasagem temporal dos dados de áreas urbanas (2019); (3) imprecisões geométricas na sobreposição de bases com origens distintas; (4) variabilidade nos critérios de classificação de vias no OSM. Recomenda-se validação em campo antes de quaisquer decisões de investimento baseadas exclusivamente nesta base.</w:t>
      </w:r>
    </w:p>
    <w:p w14:paraId="4A436FFE" w14:textId="77777777" w:rsidR="008F7B77" w:rsidRDefault="00000000">
      <w:r>
        <w:br w:type="page"/>
      </w:r>
    </w:p>
    <w:p w14:paraId="182C2FEE" w14:textId="77777777" w:rsidR="008F7B77" w:rsidRDefault="00000000">
      <w:pPr>
        <w:pStyle w:val="Ttulo1"/>
      </w:pPr>
      <w:r>
        <w:rPr>
          <w:color w:val="003366"/>
        </w:rPr>
        <w:lastRenderedPageBreak/>
        <w:t>4. CONSIDERAÇÕES FINAIS</w:t>
      </w:r>
    </w:p>
    <w:p w14:paraId="723769F7" w14:textId="77777777" w:rsidR="008F7B77" w:rsidRDefault="00000000">
      <w:pPr>
        <w:spacing w:before="120" w:after="120"/>
        <w:jc w:val="both"/>
      </w:pPr>
      <w:r>
        <w:rPr>
          <w:rFonts w:ascii="Calibri" w:hAnsi="Calibri"/>
        </w:rPr>
        <w:t>O presente estudo apresentou uma metodologia de inferência geoespacial para geração de base vetorial rodoviária estimada da malha vicinal do Estado de São Paulo. A partir da integração de fontes abertas (OpenStreetMap) e oficiais (DER/SP, IBGE, SEADE), foram produzidas duas bases complementares: (1) Malha Vicinal (OSM), com 25.918,60 km em 7.417 segmentos; e (2) Malha Total (OSM + DER), com 47.666,00 km integrando vicinais e rodovias estaduais.</w:t>
      </w:r>
    </w:p>
    <w:p w14:paraId="52E924E3" w14:textId="77777777" w:rsidR="008F7B77" w:rsidRDefault="00000000">
      <w:pPr>
        <w:spacing w:before="120" w:after="120"/>
        <w:jc w:val="both"/>
      </w:pPr>
      <w:r>
        <w:rPr>
          <w:rFonts w:ascii="Calibri" w:hAnsi="Calibri"/>
        </w:rPr>
        <w:t>A análise exploratória revelou heterogeneidade expressiva entre municípios e Regiões Administrativas, com padrões espaciais consistentes com a literatura: maior disponibilidade relativa de malha vicinal em municípios agrícolas e menos populosos, e menor expressão em áreas metropolitanas densamente urbanizadas. A razão máxima/mínima de 500:1 na escala municipal e 25:1 na escala regional evidencia a importância de análises multiescala para suporte à tomada de decisão.</w:t>
      </w:r>
    </w:p>
    <w:p w14:paraId="5538F18E" w14:textId="77777777" w:rsidR="008F7B77" w:rsidRDefault="00000000">
      <w:pPr>
        <w:pStyle w:val="Ttulo2"/>
      </w:pPr>
      <w:r>
        <w:rPr>
          <w:color w:val="003366"/>
        </w:rPr>
        <w:t>4.1. Principais Contribuições</w:t>
      </w:r>
    </w:p>
    <w:p w14:paraId="0497AD4E" w14:textId="77777777" w:rsidR="008F7B77" w:rsidRDefault="00000000">
      <w:pPr>
        <w:pStyle w:val="Commarcadores"/>
      </w:pPr>
      <w:r>
        <w:t>Geração de base vetorial inédita de cobertura estadual para malha vicinal paulista;</w:t>
      </w:r>
    </w:p>
    <w:p w14:paraId="49E03F36" w14:textId="77777777" w:rsidR="008F7B77" w:rsidRDefault="00000000">
      <w:pPr>
        <w:pStyle w:val="Commarcadores"/>
      </w:pPr>
      <w:r>
        <w:t>Metodologia reprodutível, transparente e baseada em ferramentas de código aberto;</w:t>
      </w:r>
    </w:p>
    <w:p w14:paraId="3AE5C519" w14:textId="77777777" w:rsidR="008F7B77" w:rsidRDefault="00000000">
      <w:pPr>
        <w:pStyle w:val="Commarcadores"/>
      </w:pPr>
      <w:r>
        <w:t>Caracterização quantitativa da malha vicinal em escala municipal (645 municípios) e regional (16 RAs);</w:t>
      </w:r>
    </w:p>
    <w:p w14:paraId="1BC718B1" w14:textId="77777777" w:rsidR="008F7B77" w:rsidRDefault="00000000">
      <w:pPr>
        <w:pStyle w:val="Commarcadores"/>
      </w:pPr>
      <w:r>
        <w:t>Integração de fontes abertas e oficiais, demonstrando viabilidade de abordagens híbridas;</w:t>
      </w:r>
    </w:p>
    <w:p w14:paraId="400AF227" w14:textId="77777777" w:rsidR="008F7B77" w:rsidRDefault="00000000">
      <w:pPr>
        <w:pStyle w:val="Commarcadores"/>
      </w:pPr>
      <w:r>
        <w:t>Identificação de padrões espaciais e disparidades entre territórios, subsidiando priorização de ações.</w:t>
      </w:r>
    </w:p>
    <w:p w14:paraId="7EF89051" w14:textId="77777777" w:rsidR="008F7B77" w:rsidRDefault="00000000">
      <w:pPr>
        <w:pStyle w:val="Ttulo2"/>
      </w:pPr>
      <w:r>
        <w:rPr>
          <w:color w:val="003366"/>
        </w:rPr>
        <w:t>4.2. Limitações e Ressalvas</w:t>
      </w:r>
    </w:p>
    <w:p w14:paraId="20C55E93" w14:textId="77777777" w:rsidR="008F7B77" w:rsidRDefault="00000000">
      <w:pPr>
        <w:pBdr>
          <w:top w:val="single" w:sz="12" w:space="4" w:color="FFA500"/>
          <w:left w:val="single" w:sz="12" w:space="4" w:color="FFA500"/>
          <w:bottom w:val="single" w:sz="12" w:space="4" w:color="FFA500"/>
          <w:right w:val="single" w:sz="12" w:space="4" w:color="FFA500"/>
        </w:pBdr>
        <w:shd w:val="clear" w:color="auto" w:fill="FFF8DC"/>
        <w:spacing w:before="240" w:after="240"/>
        <w:ind w:left="567" w:right="567"/>
      </w:pPr>
      <w:r>
        <w:rPr>
          <w:b/>
          <w:color w:val="CC6600"/>
        </w:rPr>
        <w:t>⚠️ Natureza Estimativa da Base</w:t>
      </w:r>
      <w:r>
        <w:rPr>
          <w:b/>
          <w:color w:val="CC6600"/>
        </w:rPr>
        <w:br/>
      </w:r>
      <w:r>
        <w:rPr>
          <w:color w:val="333333"/>
          <w:sz w:val="20"/>
        </w:rPr>
        <w:t>A base apresentada constitui uma APROXIMAÇÃO da malha vicinal, obtida por inferência geoespacial. NÃO se trata de levantamento topográfico ou cadastro oficial. Os valores são indicativos e podem divergir da realidade em campo. Toda inferência feita a partir desta base deve ser acompanhada de ressalvas importantes sobre suas limitações.</w:t>
      </w:r>
    </w:p>
    <w:p w14:paraId="4EC9FDA6" w14:textId="77777777" w:rsidR="008F7B77" w:rsidRDefault="00000000">
      <w:pPr>
        <w:pStyle w:val="Commarcadores"/>
      </w:pPr>
      <w:r>
        <w:t>Dependência da qualidade e completude do OpenStreetMap, que varia regionalmente;</w:t>
      </w:r>
    </w:p>
    <w:p w14:paraId="3614B7C0" w14:textId="77777777" w:rsidR="008F7B77" w:rsidRDefault="00000000">
      <w:pPr>
        <w:pStyle w:val="Commarcadores"/>
      </w:pPr>
      <w:r>
        <w:t>Defasagem temporal dos filtros urbanos (IBGE 2019) em relação ao presente;</w:t>
      </w:r>
    </w:p>
    <w:p w14:paraId="53DA108C" w14:textId="77777777" w:rsidR="008F7B77" w:rsidRDefault="00000000">
      <w:pPr>
        <w:pStyle w:val="Commarcadores"/>
      </w:pPr>
      <w:r>
        <w:t>Buffers amplos de exclusão (DER) podem remover vicinais paralelas legítimas;</w:t>
      </w:r>
    </w:p>
    <w:p w14:paraId="6FB9B5DB" w14:textId="77777777" w:rsidR="008F7B77" w:rsidRDefault="00000000">
      <w:pPr>
        <w:pStyle w:val="Commarcadores"/>
      </w:pPr>
      <w:r>
        <w:t>Fragmentação de segmentos pós-interseção exige agregação cuidadosa para interpretação;</w:t>
      </w:r>
    </w:p>
    <w:p w14:paraId="42827B15" w14:textId="77777777" w:rsidR="008F7B77" w:rsidRDefault="00000000">
      <w:pPr>
        <w:pStyle w:val="Commarcadores"/>
      </w:pPr>
      <w:r>
        <w:t>Ausência de validação em campo sistemática dos resultados.</w:t>
      </w:r>
    </w:p>
    <w:p w14:paraId="22B8BD75" w14:textId="77777777" w:rsidR="008F7B77" w:rsidRDefault="00000000">
      <w:pPr>
        <w:pStyle w:val="Ttulo2"/>
      </w:pPr>
      <w:r>
        <w:rPr>
          <w:color w:val="003366"/>
        </w:rPr>
        <w:t>4.3. Perspectivas de Aprimoramento</w:t>
      </w:r>
    </w:p>
    <w:p w14:paraId="2448E967" w14:textId="77777777" w:rsidR="008F7B77" w:rsidRDefault="00000000">
      <w:pPr>
        <w:spacing w:before="120" w:after="120"/>
        <w:jc w:val="both"/>
      </w:pPr>
      <w:r>
        <w:rPr>
          <w:rFonts w:ascii="Calibri" w:hAnsi="Calibri"/>
        </w:rPr>
        <w:t>Apesar das limitações, a base cumpre papel relevante ao subsidiar análises exploratórias iniciais do PLI/SP, permitindo identificação preliminar de padrões e tendências territoriais. Para aprimoramento contínuo, recomenda-se:</w:t>
      </w:r>
    </w:p>
    <w:p w14:paraId="1C2EDB3A" w14:textId="77777777" w:rsidR="008F7B77" w:rsidRDefault="00000000">
      <w:pPr>
        <w:pStyle w:val="Commarcadores"/>
      </w:pPr>
      <w:r>
        <w:t>Validação cruzada com cadastros municipais quando disponíveis;</w:t>
      </w:r>
    </w:p>
    <w:p w14:paraId="4C9D0C7F" w14:textId="77777777" w:rsidR="008F7B77" w:rsidRDefault="00000000">
      <w:pPr>
        <w:pStyle w:val="Commarcadores"/>
      </w:pPr>
      <w:r>
        <w:t>Verificação em campo de municípios com valores extremos ou atípicos;</w:t>
      </w:r>
    </w:p>
    <w:p w14:paraId="3FF54877" w14:textId="77777777" w:rsidR="008F7B77" w:rsidRDefault="00000000">
      <w:pPr>
        <w:pStyle w:val="Commarcadores"/>
      </w:pPr>
      <w:r>
        <w:lastRenderedPageBreak/>
        <w:t>Atualização dos filtros urbanos quando o IBGE disponibilizar novos dados de áreas urbanizadas;</w:t>
      </w:r>
    </w:p>
    <w:p w14:paraId="3FE9DF63" w14:textId="77777777" w:rsidR="008F7B77" w:rsidRDefault="00000000">
      <w:pPr>
        <w:pStyle w:val="Commarcadores"/>
      </w:pPr>
      <w:r>
        <w:t>Integração com sistemas de monitoramento por sensoriamento remoto;</w:t>
      </w:r>
    </w:p>
    <w:p w14:paraId="0A2BB0DC" w14:textId="77777777" w:rsidR="008F7B77" w:rsidRDefault="00000000">
      <w:pPr>
        <w:pStyle w:val="Commarcadores"/>
      </w:pPr>
      <w:r>
        <w:t>Refinamento dos buffers de exclusão com análise de sensibilidade;</w:t>
      </w:r>
    </w:p>
    <w:p w14:paraId="492C9DDF" w14:textId="77777777" w:rsidR="008F7B77" w:rsidRDefault="00000000">
      <w:pPr>
        <w:pStyle w:val="Commarcadores"/>
      </w:pPr>
      <w:r>
        <w:t>Desenvolvimento de indicadores de confiança espacialmente diferenciados.</w:t>
      </w:r>
    </w:p>
    <w:p w14:paraId="4FB14575" w14:textId="77777777" w:rsidR="008F7B77" w:rsidRDefault="00000000">
      <w:pPr>
        <w:spacing w:before="120" w:after="120"/>
        <w:jc w:val="both"/>
      </w:pPr>
      <w:r>
        <w:rPr>
          <w:rFonts w:ascii="Calibri" w:hAnsi="Calibri"/>
        </w:rPr>
        <w:t>A base representa um ponto de partida rumo a uma representação mais sólida da malha vicinal paulista. Seu valor reside menos na precisão absoluta de cada valor individual e mais na capacidade de fornecer uma visão panorâmica e comparativa da distribuição espacial da infraestrutura viária municipal, orientando a priorização de ações que demandam esforços mais aprofundados — como levantamentos de campo, estudos de viabilidade e diagnósticos localizados — concentrando recursos onde os indícios iniciais sugerem maior relevância.</w:t>
      </w:r>
    </w:p>
    <w:p w14:paraId="5EC2845A" w14:textId="77777777" w:rsidR="008F7B77" w:rsidRDefault="008F7B77"/>
    <w:p w14:paraId="675C4B48" w14:textId="77777777" w:rsidR="008F7B77" w:rsidRDefault="008F7B77"/>
    <w:p w14:paraId="5AC0FA26" w14:textId="77777777" w:rsidR="008F7B77" w:rsidRDefault="00000000">
      <w:pPr>
        <w:jc w:val="center"/>
      </w:pPr>
      <w:r>
        <w:rPr>
          <w:color w:val="666666"/>
          <w:sz w:val="28"/>
        </w:rPr>
        <w:t>***</w:t>
      </w:r>
    </w:p>
    <w:sectPr w:rsidR="008F7B77" w:rsidSect="00034616">
      <w:headerReference w:type="default" r:id="rId8"/>
      <w:footerReference w:type="default" r:id="rId9"/>
      <w:pgSz w:w="12240" w:h="15840"/>
      <w:pgMar w:top="1417" w:right="1134" w:bottom="1417"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B5BC7D" w14:textId="77777777" w:rsidR="0023720E" w:rsidRDefault="0023720E">
      <w:pPr>
        <w:spacing w:after="0" w:line="240" w:lineRule="auto"/>
      </w:pPr>
      <w:r>
        <w:separator/>
      </w:r>
    </w:p>
  </w:endnote>
  <w:endnote w:type="continuationSeparator" w:id="0">
    <w:p w14:paraId="51851CCC" w14:textId="77777777" w:rsidR="0023720E" w:rsidRDefault="0023720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DCE3D6" w14:textId="77777777" w:rsidR="008F7B77" w:rsidRPr="00281CF2" w:rsidRDefault="00000000">
    <w:pPr>
      <w:pStyle w:val="Rodap"/>
      <w:jc w:val="center"/>
      <w:rPr>
        <w:lang w:val="pt-BR"/>
      </w:rPr>
    </w:pPr>
    <w:r w:rsidRPr="00281CF2">
      <w:rPr>
        <w:lang w:val="pt-BR"/>
      </w:rPr>
      <w:t xml:space="preserve">PLI/SP – Malha Vicinal Estimada | Janeiro 2026 | Página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BD4B41" w14:textId="77777777" w:rsidR="0023720E" w:rsidRDefault="0023720E">
      <w:pPr>
        <w:spacing w:after="0" w:line="240" w:lineRule="auto"/>
      </w:pPr>
      <w:r>
        <w:separator/>
      </w:r>
    </w:p>
  </w:footnote>
  <w:footnote w:type="continuationSeparator" w:id="0">
    <w:p w14:paraId="64A7A735" w14:textId="77777777" w:rsidR="0023720E" w:rsidRDefault="0023720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FBF1C2" w14:textId="77777777" w:rsidR="008F7B77" w:rsidRPr="00281CF2" w:rsidRDefault="00000000">
    <w:pPr>
      <w:pStyle w:val="Cabealho"/>
      <w:jc w:val="right"/>
      <w:rPr>
        <w:lang w:val="pt-BR"/>
      </w:rPr>
    </w:pPr>
    <w:r w:rsidRPr="00281CF2">
      <w:rPr>
        <w:lang w:val="pt-BR"/>
      </w:rPr>
      <w:t>Inferência Geoespacial – Base Vetorial Rodoviária – Estado de São Paulo</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umerada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umerada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Commarcador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Commarcador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umerad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Commarcadores"/>
      <w:lvlText w:val=""/>
      <w:lvlJc w:val="left"/>
      <w:pPr>
        <w:tabs>
          <w:tab w:val="num" w:pos="360"/>
        </w:tabs>
        <w:ind w:left="360" w:hanging="360"/>
      </w:pPr>
      <w:rPr>
        <w:rFonts w:ascii="Symbol" w:hAnsi="Symbol" w:hint="default"/>
      </w:rPr>
    </w:lvl>
  </w:abstractNum>
  <w:num w:numId="1" w16cid:durableId="101606867">
    <w:abstractNumId w:val="8"/>
  </w:num>
  <w:num w:numId="2" w16cid:durableId="1713453618">
    <w:abstractNumId w:val="6"/>
  </w:num>
  <w:num w:numId="3" w16cid:durableId="481968308">
    <w:abstractNumId w:val="5"/>
  </w:num>
  <w:num w:numId="4" w16cid:durableId="376205106">
    <w:abstractNumId w:val="4"/>
  </w:num>
  <w:num w:numId="5" w16cid:durableId="916210184">
    <w:abstractNumId w:val="7"/>
  </w:num>
  <w:num w:numId="6" w16cid:durableId="1747267123">
    <w:abstractNumId w:val="3"/>
  </w:num>
  <w:num w:numId="7" w16cid:durableId="207375046">
    <w:abstractNumId w:val="2"/>
  </w:num>
  <w:num w:numId="8" w16cid:durableId="663051306">
    <w:abstractNumId w:val="1"/>
  </w:num>
  <w:num w:numId="9" w16cid:durableId="1489075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23E82"/>
    <w:rsid w:val="0015074B"/>
    <w:rsid w:val="0023720E"/>
    <w:rsid w:val="00281CF2"/>
    <w:rsid w:val="0029639D"/>
    <w:rsid w:val="00326F90"/>
    <w:rsid w:val="008C1F3B"/>
    <w:rsid w:val="008F7B77"/>
    <w:rsid w:val="00AA1D8D"/>
    <w:rsid w:val="00B47730"/>
    <w:rsid w:val="00CB0664"/>
    <w:rsid w:val="00E6056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2B1D59D"/>
  <w14:defaultImageDpi w14:val="300"/>
  <w15:docId w15:val="{9BD2906B-9174-45D7-8C73-391162DEEB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tulo1">
    <w:name w:val="heading 1"/>
    <w:basedOn w:val="Normal"/>
    <w:next w:val="Normal"/>
    <w:link w:val="Ttulo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E618BF"/>
    <w:pPr>
      <w:tabs>
        <w:tab w:val="center" w:pos="4680"/>
        <w:tab w:val="right" w:pos="9360"/>
      </w:tabs>
      <w:spacing w:after="0" w:line="240" w:lineRule="auto"/>
    </w:pPr>
    <w:rPr>
      <w:color w:val="808080"/>
      <w:sz w:val="18"/>
    </w:rPr>
  </w:style>
  <w:style w:type="character" w:customStyle="1" w:styleId="CabealhoChar">
    <w:name w:val="Cabeçalho Char"/>
    <w:basedOn w:val="Fontepargpadro"/>
    <w:link w:val="Cabealho"/>
    <w:uiPriority w:val="99"/>
    <w:rsid w:val="00E618BF"/>
  </w:style>
  <w:style w:type="paragraph" w:styleId="Rodap">
    <w:name w:val="footer"/>
    <w:basedOn w:val="Normal"/>
    <w:link w:val="RodapChar"/>
    <w:uiPriority w:val="99"/>
    <w:unhideWhenUsed/>
    <w:rsid w:val="00E618BF"/>
    <w:pPr>
      <w:tabs>
        <w:tab w:val="center" w:pos="4680"/>
        <w:tab w:val="right" w:pos="9360"/>
      </w:tabs>
      <w:spacing w:after="0" w:line="240" w:lineRule="auto"/>
    </w:pPr>
    <w:rPr>
      <w:color w:val="808080"/>
      <w:sz w:val="18"/>
    </w:rPr>
  </w:style>
  <w:style w:type="character" w:customStyle="1" w:styleId="RodapChar">
    <w:name w:val="Rodapé Char"/>
    <w:basedOn w:val="Fontepargpadro"/>
    <w:link w:val="Rodap"/>
    <w:uiPriority w:val="99"/>
    <w:rsid w:val="00E618BF"/>
  </w:style>
  <w:style w:type="paragraph" w:styleId="SemEspaamento">
    <w:name w:val="No Spacing"/>
    <w:uiPriority w:val="1"/>
    <w:qFormat/>
    <w:rsid w:val="00FC693F"/>
    <w:pPr>
      <w:spacing w:after="0" w:line="240" w:lineRule="auto"/>
    </w:pPr>
  </w:style>
  <w:style w:type="character" w:customStyle="1" w:styleId="Ttulo1Char">
    <w:name w:val="Título 1 Char"/>
    <w:basedOn w:val="Fontepargpadro"/>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har">
    <w:name w:val="Título 2 Char"/>
    <w:basedOn w:val="Fontepargpadro"/>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har">
    <w:name w:val="Título 3 Char"/>
    <w:basedOn w:val="Fontepargpadro"/>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har">
    <w:name w:val="Título Char"/>
    <w:basedOn w:val="Fontepargpadro"/>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har">
    <w:name w:val="Subtítulo Char"/>
    <w:basedOn w:val="Fontepargpadro"/>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argrafodaLista">
    <w:name w:val="List Paragraph"/>
    <w:basedOn w:val="Normal"/>
    <w:uiPriority w:val="34"/>
    <w:qFormat/>
    <w:rsid w:val="00FC693F"/>
    <w:pPr>
      <w:ind w:left="720"/>
      <w:contextualSpacing/>
    </w:pPr>
  </w:style>
  <w:style w:type="paragraph" w:styleId="Corpodetexto">
    <w:name w:val="Body Text"/>
    <w:basedOn w:val="Normal"/>
    <w:link w:val="CorpodetextoChar"/>
    <w:uiPriority w:val="99"/>
    <w:unhideWhenUsed/>
    <w:rsid w:val="00AA1D8D"/>
    <w:pPr>
      <w:spacing w:after="120"/>
    </w:pPr>
  </w:style>
  <w:style w:type="character" w:customStyle="1" w:styleId="CorpodetextoChar">
    <w:name w:val="Corpo de texto Char"/>
    <w:basedOn w:val="Fontepargpadro"/>
    <w:link w:val="Corpodetexto"/>
    <w:uiPriority w:val="99"/>
    <w:rsid w:val="00AA1D8D"/>
  </w:style>
  <w:style w:type="paragraph" w:styleId="Corpodetexto2">
    <w:name w:val="Body Text 2"/>
    <w:basedOn w:val="Normal"/>
    <w:link w:val="Corpodetexto2Char"/>
    <w:uiPriority w:val="99"/>
    <w:unhideWhenUsed/>
    <w:rsid w:val="00AA1D8D"/>
    <w:pPr>
      <w:spacing w:after="120" w:line="480" w:lineRule="auto"/>
    </w:pPr>
  </w:style>
  <w:style w:type="character" w:customStyle="1" w:styleId="Corpodetexto2Char">
    <w:name w:val="Corpo de texto 2 Char"/>
    <w:basedOn w:val="Fontepargpadro"/>
    <w:link w:val="Corpodetexto2"/>
    <w:uiPriority w:val="99"/>
    <w:rsid w:val="00AA1D8D"/>
  </w:style>
  <w:style w:type="paragraph" w:styleId="Corpodetexto3">
    <w:name w:val="Body Text 3"/>
    <w:basedOn w:val="Normal"/>
    <w:link w:val="Corpodetexto3Char"/>
    <w:uiPriority w:val="99"/>
    <w:unhideWhenUsed/>
    <w:rsid w:val="00AA1D8D"/>
    <w:pPr>
      <w:spacing w:after="120"/>
    </w:pPr>
    <w:rPr>
      <w:sz w:val="16"/>
      <w:szCs w:val="16"/>
    </w:rPr>
  </w:style>
  <w:style w:type="character" w:customStyle="1" w:styleId="Corpodetexto3Char">
    <w:name w:val="Corpo de texto 3 Char"/>
    <w:basedOn w:val="Fontepargpadro"/>
    <w:link w:val="Corpodetexto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Commarcadores">
    <w:name w:val="List Bullet"/>
    <w:basedOn w:val="Normal"/>
    <w:uiPriority w:val="99"/>
    <w:unhideWhenUsed/>
    <w:rsid w:val="00326F90"/>
    <w:pPr>
      <w:numPr>
        <w:numId w:val="1"/>
      </w:numPr>
      <w:contextualSpacing/>
    </w:pPr>
  </w:style>
  <w:style w:type="paragraph" w:styleId="Commarcadores2">
    <w:name w:val="List Bullet 2"/>
    <w:basedOn w:val="Normal"/>
    <w:uiPriority w:val="99"/>
    <w:unhideWhenUsed/>
    <w:rsid w:val="00326F90"/>
    <w:pPr>
      <w:numPr>
        <w:numId w:val="2"/>
      </w:numPr>
      <w:contextualSpacing/>
    </w:pPr>
  </w:style>
  <w:style w:type="paragraph" w:styleId="Commarcadores3">
    <w:name w:val="List Bullet 3"/>
    <w:basedOn w:val="Normal"/>
    <w:uiPriority w:val="99"/>
    <w:unhideWhenUsed/>
    <w:rsid w:val="00326F90"/>
    <w:pPr>
      <w:numPr>
        <w:numId w:val="3"/>
      </w:numPr>
      <w:contextualSpacing/>
    </w:pPr>
  </w:style>
  <w:style w:type="paragraph" w:styleId="Numerada">
    <w:name w:val="List Number"/>
    <w:basedOn w:val="Normal"/>
    <w:uiPriority w:val="99"/>
    <w:unhideWhenUsed/>
    <w:rsid w:val="00326F90"/>
    <w:pPr>
      <w:numPr>
        <w:numId w:val="5"/>
      </w:numPr>
      <w:contextualSpacing/>
    </w:pPr>
  </w:style>
  <w:style w:type="paragraph" w:styleId="Numerada2">
    <w:name w:val="List Number 2"/>
    <w:basedOn w:val="Normal"/>
    <w:uiPriority w:val="99"/>
    <w:unhideWhenUsed/>
    <w:rsid w:val="0029639D"/>
    <w:pPr>
      <w:numPr>
        <w:numId w:val="6"/>
      </w:numPr>
      <w:contextualSpacing/>
    </w:pPr>
  </w:style>
  <w:style w:type="paragraph" w:styleId="Numerada3">
    <w:name w:val="List Number 3"/>
    <w:basedOn w:val="Normal"/>
    <w:uiPriority w:val="99"/>
    <w:unhideWhenUsed/>
    <w:rsid w:val="0029639D"/>
    <w:pPr>
      <w:numPr>
        <w:numId w:val="7"/>
      </w:numPr>
      <w:contextualSpacing/>
    </w:pPr>
  </w:style>
  <w:style w:type="paragraph" w:styleId="Listadecontinuao">
    <w:name w:val="List Continue"/>
    <w:basedOn w:val="Normal"/>
    <w:uiPriority w:val="99"/>
    <w:unhideWhenUsed/>
    <w:rsid w:val="0029639D"/>
    <w:pPr>
      <w:spacing w:after="120"/>
      <w:ind w:left="360"/>
      <w:contextualSpacing/>
    </w:pPr>
  </w:style>
  <w:style w:type="paragraph" w:styleId="Listadecontinuao2">
    <w:name w:val="List Continue 2"/>
    <w:basedOn w:val="Normal"/>
    <w:uiPriority w:val="99"/>
    <w:unhideWhenUsed/>
    <w:rsid w:val="0029639D"/>
    <w:pPr>
      <w:spacing w:after="120"/>
      <w:ind w:left="720"/>
      <w:contextualSpacing/>
    </w:pPr>
  </w:style>
  <w:style w:type="paragraph" w:styleId="Listadecontinuao3">
    <w:name w:val="List Continue 3"/>
    <w:basedOn w:val="Normal"/>
    <w:uiPriority w:val="99"/>
    <w:unhideWhenUsed/>
    <w:rsid w:val="0029639D"/>
    <w:pPr>
      <w:spacing w:after="120"/>
      <w:ind w:left="1080"/>
      <w:contextualSpacing/>
    </w:pPr>
  </w:style>
  <w:style w:type="paragraph" w:styleId="Textodemacro">
    <w:name w:val="macro"/>
    <w:link w:val="Textode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demacroChar">
    <w:name w:val="Texto de macro Char"/>
    <w:basedOn w:val="Fontepargpadro"/>
    <w:link w:val="Textodemacro"/>
    <w:uiPriority w:val="99"/>
    <w:rsid w:val="0029639D"/>
    <w:rPr>
      <w:rFonts w:ascii="Courier" w:hAnsi="Courier"/>
      <w:sz w:val="20"/>
      <w:szCs w:val="20"/>
    </w:rPr>
  </w:style>
  <w:style w:type="paragraph" w:styleId="Citao">
    <w:name w:val="Quote"/>
    <w:basedOn w:val="Normal"/>
    <w:next w:val="Normal"/>
    <w:link w:val="CitaoChar"/>
    <w:uiPriority w:val="29"/>
    <w:qFormat/>
    <w:rsid w:val="00FC693F"/>
    <w:rPr>
      <w:i/>
      <w:iCs/>
      <w:color w:val="000000" w:themeColor="text1"/>
    </w:rPr>
  </w:style>
  <w:style w:type="character" w:customStyle="1" w:styleId="CitaoChar">
    <w:name w:val="Citação Char"/>
    <w:basedOn w:val="Fontepargpadro"/>
    <w:link w:val="Citao"/>
    <w:uiPriority w:val="29"/>
    <w:rsid w:val="00FC693F"/>
    <w:rPr>
      <w:i/>
      <w:iCs/>
      <w:color w:val="000000" w:themeColor="text1"/>
    </w:rPr>
  </w:style>
  <w:style w:type="character" w:customStyle="1" w:styleId="Ttulo4Char">
    <w:name w:val="Título 4 Char"/>
    <w:basedOn w:val="Fontepargpadro"/>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har">
    <w:name w:val="Título 5 Char"/>
    <w:basedOn w:val="Fontepargpadro"/>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har">
    <w:name w:val="Título 6 Char"/>
    <w:basedOn w:val="Fontepargpadro"/>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har">
    <w:name w:val="Título 7 Char"/>
    <w:basedOn w:val="Fontepargpadro"/>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har">
    <w:name w:val="Título 8 Char"/>
    <w:basedOn w:val="Fontepargpadro"/>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har">
    <w:name w:val="Título 9 Char"/>
    <w:basedOn w:val="Fontepargpadro"/>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Legenda">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orte">
    <w:name w:val="Strong"/>
    <w:basedOn w:val="Fontepargpadro"/>
    <w:uiPriority w:val="22"/>
    <w:qFormat/>
    <w:rsid w:val="00FC693F"/>
    <w:rPr>
      <w:b/>
      <w:bCs/>
    </w:rPr>
  </w:style>
  <w:style w:type="character" w:styleId="nfase">
    <w:name w:val="Emphasis"/>
    <w:basedOn w:val="Fontepargpadro"/>
    <w:uiPriority w:val="20"/>
    <w:qFormat/>
    <w:rsid w:val="00FC693F"/>
    <w:rPr>
      <w:i/>
      <w:iCs/>
    </w:rPr>
  </w:style>
  <w:style w:type="paragraph" w:styleId="CitaoIntensa">
    <w:name w:val="Intense Quote"/>
    <w:basedOn w:val="Normal"/>
    <w:next w:val="Normal"/>
    <w:link w:val="CitaoIntensa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oIntensaChar">
    <w:name w:val="Citação Intensa Char"/>
    <w:basedOn w:val="Fontepargpadro"/>
    <w:link w:val="CitaoIntensa"/>
    <w:uiPriority w:val="30"/>
    <w:rsid w:val="00FC693F"/>
    <w:rPr>
      <w:b/>
      <w:bCs/>
      <w:i/>
      <w:iCs/>
      <w:color w:val="4F81BD" w:themeColor="accent1"/>
    </w:rPr>
  </w:style>
  <w:style w:type="character" w:styleId="nfaseSutil">
    <w:name w:val="Subtle Emphasis"/>
    <w:basedOn w:val="Fontepargpadro"/>
    <w:uiPriority w:val="19"/>
    <w:qFormat/>
    <w:rsid w:val="00FC693F"/>
    <w:rPr>
      <w:i/>
      <w:iCs/>
      <w:color w:val="808080" w:themeColor="text1" w:themeTint="7F"/>
    </w:rPr>
  </w:style>
  <w:style w:type="character" w:styleId="nfaseIntensa">
    <w:name w:val="Intense Emphasis"/>
    <w:basedOn w:val="Fontepargpadro"/>
    <w:uiPriority w:val="21"/>
    <w:qFormat/>
    <w:rsid w:val="00FC693F"/>
    <w:rPr>
      <w:b/>
      <w:bCs/>
      <w:i/>
      <w:iCs/>
      <w:color w:val="4F81BD" w:themeColor="accent1"/>
    </w:rPr>
  </w:style>
  <w:style w:type="character" w:styleId="RefernciaSutil">
    <w:name w:val="Subtle Reference"/>
    <w:basedOn w:val="Fontepargpadro"/>
    <w:uiPriority w:val="31"/>
    <w:qFormat/>
    <w:rsid w:val="00FC693F"/>
    <w:rPr>
      <w:smallCaps/>
      <w:color w:val="C0504D" w:themeColor="accent2"/>
      <w:u w:val="single"/>
    </w:rPr>
  </w:style>
  <w:style w:type="character" w:styleId="RefernciaIntensa">
    <w:name w:val="Intense Reference"/>
    <w:basedOn w:val="Fontepargpadro"/>
    <w:uiPriority w:val="32"/>
    <w:qFormat/>
    <w:rsid w:val="00FC693F"/>
    <w:rPr>
      <w:b/>
      <w:bCs/>
      <w:smallCaps/>
      <w:color w:val="C0504D" w:themeColor="accent2"/>
      <w:spacing w:val="5"/>
      <w:u w:val="single"/>
    </w:rPr>
  </w:style>
  <w:style w:type="character" w:styleId="TtulodoLivro">
    <w:name w:val="Book Title"/>
    <w:basedOn w:val="Fontepargpadro"/>
    <w:uiPriority w:val="33"/>
    <w:qFormat/>
    <w:rsid w:val="00FC693F"/>
    <w:rPr>
      <w:b/>
      <w:bCs/>
      <w:smallCaps/>
      <w:spacing w:val="5"/>
    </w:rPr>
  </w:style>
  <w:style w:type="paragraph" w:styleId="CabealhodoSumrio">
    <w:name w:val="TOC Heading"/>
    <w:basedOn w:val="Ttulo1"/>
    <w:next w:val="Normal"/>
    <w:uiPriority w:val="39"/>
    <w:semiHidden/>
    <w:unhideWhenUsed/>
    <w:qFormat/>
    <w:rsid w:val="00FC693F"/>
    <w:pPr>
      <w:outlineLvl w:val="9"/>
    </w:pPr>
  </w:style>
  <w:style w:type="table" w:styleId="Tabelacomgrade">
    <w:name w:val="Table Grid"/>
    <w:basedOn w:val="Tabe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mentoClaro">
    <w:name w:val="Light Shading"/>
    <w:basedOn w:val="Tabe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mentoClaro-nfase1">
    <w:name w:val="Light Shading Accent 1"/>
    <w:basedOn w:val="Tabe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mentoClaro-nfase2">
    <w:name w:val="Light Shading Accent 2"/>
    <w:basedOn w:val="Tabe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mentoClaro-nfase3">
    <w:name w:val="Light Shading Accent 3"/>
    <w:basedOn w:val="Tabe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mentoClaro-nfase4">
    <w:name w:val="Light Shading Accent 4"/>
    <w:basedOn w:val="Tabe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mentoClaro-nfase5">
    <w:name w:val="Light Shading Accent 5"/>
    <w:basedOn w:val="Tabe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mentoClaro-nfase6">
    <w:name w:val="Light Shading Accent 6"/>
    <w:basedOn w:val="Tabe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e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e1">
    <w:name w:val="Light List Accent 1"/>
    <w:basedOn w:val="Tabe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e2">
    <w:name w:val="Light List Accent 2"/>
    <w:basedOn w:val="Tabe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e3">
    <w:name w:val="Light List Accent 3"/>
    <w:basedOn w:val="Tabe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e4">
    <w:name w:val="Light List Accent 4"/>
    <w:basedOn w:val="Tabe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e5">
    <w:name w:val="Light List Accent 5"/>
    <w:basedOn w:val="Tabe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e6">
    <w:name w:val="Light List Accent 6"/>
    <w:basedOn w:val="Tabe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adeClara">
    <w:name w:val="Light Grid"/>
    <w:basedOn w:val="Tabe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adeClara-nfase1">
    <w:name w:val="Light Grid Accent 1"/>
    <w:basedOn w:val="Tabe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adeClara-nfase2">
    <w:name w:val="Light Grid Accent 2"/>
    <w:basedOn w:val="Tabe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adeClara-nfase3">
    <w:name w:val="Light Grid Accent 3"/>
    <w:basedOn w:val="Tabe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adeClara-nfase4">
    <w:name w:val="Light Grid Accent 4"/>
    <w:basedOn w:val="Tabe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adeClara-nfase5">
    <w:name w:val="Light Grid Accent 5"/>
    <w:basedOn w:val="Tabe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adeClara-nfase6">
    <w:name w:val="Light Grid Accent 6"/>
    <w:basedOn w:val="Tabe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mentoMdio1">
    <w:name w:val="Medium Shading 1"/>
    <w:basedOn w:val="Tabe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mentoMdio1-nfase1">
    <w:name w:val="Medium Shading 1 Accent 1"/>
    <w:basedOn w:val="Tabe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mentoMdio1-nfase2">
    <w:name w:val="Medium Shading 1 Accent 2"/>
    <w:basedOn w:val="Tabe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mentoMdio1-nfase3">
    <w:name w:val="Medium Shading 1 Accent 3"/>
    <w:basedOn w:val="Tabe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mentoMdio1-nfase4">
    <w:name w:val="Medium Shading 1 Accent 4"/>
    <w:basedOn w:val="Tabe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mentoMdio1-nfase5">
    <w:name w:val="Medium Shading 1 Accent 5"/>
    <w:basedOn w:val="Tabe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mentoMdio1-nfase6">
    <w:name w:val="Medium Shading 1 Accent 6"/>
    <w:basedOn w:val="Tabe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mentoMdio2">
    <w:name w:val="Medium Shading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1">
    <w:name w:val="Medium Shading 2 Accent 1"/>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2">
    <w:name w:val="Medium Shading 2 Accent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3">
    <w:name w:val="Medium Shading 2 Accent 3"/>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4">
    <w:name w:val="Medium Shading 2 Accent 4"/>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5">
    <w:name w:val="Medium Shading 2 Accent 5"/>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6">
    <w:name w:val="Medium Shading 2 Accent 6"/>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dia1">
    <w:name w:val="Medium List 1"/>
    <w:basedOn w:val="Tabe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dia1-nfase1">
    <w:name w:val="Medium List 1 Accent 1"/>
    <w:basedOn w:val="Tabe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dia1-nfase2">
    <w:name w:val="Medium List 1 Accent 2"/>
    <w:basedOn w:val="Tabe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dia1-nfase3">
    <w:name w:val="Medium List 1 Accent 3"/>
    <w:basedOn w:val="Tabe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dia1-nfase4">
    <w:name w:val="Medium List 1 Accent 4"/>
    <w:basedOn w:val="Tabe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dia1-nfase5">
    <w:name w:val="Medium List 1 Accent 5"/>
    <w:basedOn w:val="Tabe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dia1-nfase6">
    <w:name w:val="Medium List 1 Accent 6"/>
    <w:basedOn w:val="Tabe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dia2">
    <w:name w:val="Medium Lis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1">
    <w:name w:val="Medium List 2 Accent 1"/>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2">
    <w:name w:val="Medium List 2 Accen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3">
    <w:name w:val="Medium List 2 Accent 3"/>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4">
    <w:name w:val="Medium List 2 Accent 4"/>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5">
    <w:name w:val="Medium List 2 Accent 5"/>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6">
    <w:name w:val="Medium List 2 Accent 6"/>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adeMdia1">
    <w:name w:val="Medium Grid 1"/>
    <w:basedOn w:val="Tabe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Mdia1-nfase1">
    <w:name w:val="Medium Grid 1 Accent 1"/>
    <w:basedOn w:val="Tabe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Mdia1-nfase2">
    <w:name w:val="Medium Grid 1 Accent 2"/>
    <w:basedOn w:val="Tabe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Mdia1-nfase3">
    <w:name w:val="Medium Grid 1 Accent 3"/>
    <w:basedOn w:val="Tabe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Mdia1-nfase4">
    <w:name w:val="Medium Grid 1 Accent 4"/>
    <w:basedOn w:val="Tabe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Mdia1-nfase5">
    <w:name w:val="Medium Grid 1 Accent 5"/>
    <w:basedOn w:val="Tabe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Mdia1-nfase6">
    <w:name w:val="Medium Grid 1 Accent 6"/>
    <w:basedOn w:val="Tabe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adeMdia2">
    <w:name w:val="Medium Grid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adeMdia2-nfase1">
    <w:name w:val="Medium Grid 2 Accent 1"/>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adeMdia2-nfase2">
    <w:name w:val="Medium Grid 2 Accent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adeMdia2-nfase3">
    <w:name w:val="Medium Grid 2 Accent 3"/>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adeMdia2-nfase4">
    <w:name w:val="Medium Grid 2 Accent 4"/>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adeMdia2-nfase5">
    <w:name w:val="Medium Grid 2 Accent 5"/>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adeMdia2-nfase6">
    <w:name w:val="Medium Grid 2 Accent 6"/>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adeMdia3">
    <w:name w:val="Medium Grid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adeMdia3-nfase1">
    <w:name w:val="Medium Grid 3 Accent 1"/>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adeMdia3-nfase2">
    <w:name w:val="Medium Grid 3 Accent 2"/>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adeMdia3-nfase3">
    <w:name w:val="Medium Grid 3 Accent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adeMdia3-nfase4">
    <w:name w:val="Medium Grid 3 Accent 4"/>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adeMdia3-nfase5">
    <w:name w:val="Medium Grid 3 Accent 5"/>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adeMdia3-nfase6">
    <w:name w:val="Medium Grid 3 Accent 6"/>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Escura">
    <w:name w:val="Dark List"/>
    <w:basedOn w:val="Tabe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Escura-nfase1">
    <w:name w:val="Dark List Accent 1"/>
    <w:basedOn w:val="Tabe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Escura-nfase2">
    <w:name w:val="Dark List Accent 2"/>
    <w:basedOn w:val="Tabe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Escura-nfase3">
    <w:name w:val="Dark List Accent 3"/>
    <w:basedOn w:val="Tabe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Escura-nfase4">
    <w:name w:val="Dark List Accent 4"/>
    <w:basedOn w:val="Tabe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Escura-nfase5">
    <w:name w:val="Dark List Accent 5"/>
    <w:basedOn w:val="Tabe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Escura-nfase6">
    <w:name w:val="Dark List Accent 6"/>
    <w:basedOn w:val="Tabe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mentoColorido">
    <w:name w:val="Colorful Shading"/>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mentoEscuro-nfase1">
    <w:name w:val="Colorful Shading Accent 1"/>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mentoColorido-nfase2">
    <w:name w:val="Colorful Shading Accent 2"/>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mentoColorido-nfase3">
    <w:name w:val="Colorful Shading Accent 3"/>
    <w:basedOn w:val="Tabe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mentoColorido-nfase4">
    <w:name w:val="Colorful Shading Accent 4"/>
    <w:basedOn w:val="Tabe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mentoColorido-nfase5">
    <w:name w:val="Colorful Shading Accent 5"/>
    <w:basedOn w:val="Tabe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mentoColorido-nfase6">
    <w:name w:val="Colorful Shading Accent 6"/>
    <w:basedOn w:val="Tabe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Colorida">
    <w:name w:val="Colorful List"/>
    <w:basedOn w:val="Tabe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Colorida-nfase1">
    <w:name w:val="Colorful List Accent 1"/>
    <w:basedOn w:val="Tabe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Colorida-nfase2">
    <w:name w:val="Colorful List Accent 2"/>
    <w:basedOn w:val="Tabe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Colorida-nfase3">
    <w:name w:val="Colorful List Accent 3"/>
    <w:basedOn w:val="Tabe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Colorida-nfase4">
    <w:name w:val="Colorful List Accent 4"/>
    <w:basedOn w:val="Tabe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Colorida-nfase5">
    <w:name w:val="Colorful List Accent 5"/>
    <w:basedOn w:val="Tabe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Colorida-nfase6">
    <w:name w:val="Colorful List Accent 6"/>
    <w:basedOn w:val="Tabe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adeColorida">
    <w:name w:val="Colorful Grid"/>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Colorida-nfase1">
    <w:name w:val="Colorful Grid Accent 1"/>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Colorida-nfase2">
    <w:name w:val="Colorful Grid Accent 2"/>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Colorida-nfase3">
    <w:name w:val="Colorful Grid Accent 3"/>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Colorida-nfase4">
    <w:name w:val="Colorful Grid Accent 4"/>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Colorida-nfase5">
    <w:name w:val="Colorful Grid Accent 5"/>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Colorida-nfase6">
    <w:name w:val="Colorful Grid Accent 6"/>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10</Pages>
  <Words>2573</Words>
  <Characters>15930</Characters>
  <Application>Microsoft Office Word</Application>
  <DocSecurity>0</DocSecurity>
  <Lines>306</Lines>
  <Paragraphs>185</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18318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VINICIUS DO PRADO CAPANEMA</cp:lastModifiedBy>
  <cp:revision>1</cp:revision>
  <dcterms:created xsi:type="dcterms:W3CDTF">2013-12-23T23:15:00Z</dcterms:created>
  <dcterms:modified xsi:type="dcterms:W3CDTF">2026-01-23T09:28:00Z</dcterms:modified>
  <cp:category/>
</cp:coreProperties>
</file>