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4.4.3  Análise do Panorama de Investimentos Estaduais em Rodovias de São Paulo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