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4  Visão Geral das Atividades Realizadas</w:t>
      </w:r>
    </w:p>
    <w:p>
      <w:pPr>
        <w:spacing w:after="240"/>
      </w:pPr>
      <w:r>
        <w:rPr>
          <w:i/>
          <w:color w:val="4F5D6E"/>
          <w:sz w:val="18"/>
        </w:rPr>
        <w:t>Titulo ancestral (somente contexto neste modelo). Escreva o texto na ultima subseccao deste documento ou no ficheiro .dotx dessa parte.</w:t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4.4  Atividades de Apoio Técnico</w:t>
      </w:r>
    </w:p>
    <w:p>
      <w:pPr>
        <w:spacing w:after="240"/>
      </w:pPr>
      <w:r>
        <w:rPr>
          <w:i/>
          <w:color w:val="4F5D6E"/>
          <w:sz w:val="18"/>
        </w:rPr>
        <w:t>Titulo ancestral (somente contexto neste modelo). Escreva o texto na ultima subseccao deste documento ou no ficheiro .dotx dessa parte.</w:t>
      </w:r>
    </w:p>
    <w:p>
      <w:pPr>
        <w:pStyle w:val="Heading3"/>
        <w:spacing w:after="160"/>
      </w:pPr>
      <w:r>
        <w:rPr>
          <w:rFonts w:ascii="Verdana" w:hAnsi="Verdana"/>
          <w:color w:val="1C3D59"/>
        </w:rPr>
        <w:t>4.4.4  Preenchimento das fichas de obras rodoviárias – Produto D-10 (Caracterização da oferta futura)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