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4.4  Atividades de Apoio Técnico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3"/>
        <w:spacing w:after="160"/>
      </w:pPr>
      <w:r>
        <w:rPr>
          <w:rFonts w:ascii="Verdana" w:hAnsi="Verdana"/>
          <w:color w:val="1C3D59"/>
        </w:rPr>
        <w:t>4.4.6  Avaliação e ajuste dos VDMA das rodovias paulistas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