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4.4.7  Atividades de padronização e revisão de documentos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