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4  Visão Geral das Atividades Realizadas</w:t>
      </w:r>
    </w:p>
    <w:p>
      <w:pPr>
        <w:spacing w:after="240"/>
      </w:pPr>
      <w:r>
        <w:rPr>
          <w:i/>
          <w:color w:val="4F5D6E"/>
          <w:sz w:val="18"/>
        </w:rPr>
        <w:t>Titulo ancestral (somente contexto neste modelo). Escreva o texto na ultima subseccao deste documento ou no ficheiro .dotx dessa parte.</w:t>
      </w:r>
    </w:p>
    <w:p>
      <w:pPr>
        <w:pStyle w:val="Heading2"/>
        <w:spacing w:after="160"/>
      </w:pPr>
      <w:r>
        <w:rPr>
          <w:rFonts w:ascii="Verdana" w:hAnsi="Verdana"/>
          <w:color w:val="1C3D59"/>
        </w:rPr>
        <w:t>4.4  Atividades de Apoio Técnico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