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4.4.6  Avaliação e ajuste dos VDMA das rodovias paulistas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