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89D6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ahora que tenemos desarrollada la Fase 2: Diseño del Framework de Rentabilidad Regenerativa (FRR), debemos organizar cuidadosamente lo que sigue para que el artículo científico, la plataforma y la evaluación de expertos avancen juntos.</w:t>
      </w:r>
    </w:p>
    <w:p w14:paraId="5FF5C02A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Mi recomendación es que la siguiente etapa sea la Fase 3: validación del instrumento y preparación de la base de datos empresarial, antes de entrenar redes neuronales artificiales (ANN).</w:t>
      </w:r>
    </w:p>
    <w:p w14:paraId="71D9FAE6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Esto no significa abandonar el protocolo original. Significa organizar sus actividades de manera que primero tengamos un modelo medible y evaluado por expertos, después datos empresariales confiables y finalmente resultados que podamos publicar.</w:t>
      </w:r>
    </w:p>
    <w:p w14:paraId="527B3C1F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Hay algo especialmente importante: los expertos no tienen que esperar a que terminemos todo el artículo. Podemos someterles ahora la arquitectura candidata del FRR, sus indicadores y sus fórmulas. Más adelante, cuando tengamos resultados de las empresas, podremos solicitar una evaluación complementaria del modelo integrado.</w:t>
      </w:r>
    </w:p>
    <w:p w14:paraId="5CBE40C2" w14:textId="77777777" w:rsidR="003E315E" w:rsidRPr="003E315E" w:rsidRDefault="003E315E" w:rsidP="003E315E">
      <w:pPr>
        <w:jc w:val="both"/>
        <w:rPr>
          <w:b/>
          <w:bCs/>
          <w:sz w:val="24"/>
          <w:szCs w:val="24"/>
        </w:rPr>
      </w:pPr>
      <w:r w:rsidRPr="003E315E">
        <w:rPr>
          <w:b/>
          <w:bCs/>
          <w:sz w:val="24"/>
          <w:szCs w:val="24"/>
        </w:rPr>
        <w:t>Ruta de trabajo desde la Fase 2 hasta el artículo científico</w:t>
      </w:r>
    </w:p>
    <w:p w14:paraId="09C747F8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Revisando el protocolo original, hay una precisión importante: la Fase 3 oficialmente corresponde al modelado mediante redes neuronales artificiales, la Fase 4 a simulaciones y la Fase 5 a validación Delphi y redacción del artículo. Conservaremos esa numeración. La evaluación preliminar de los indicadores será una actividad preparatoria de la Fase 3, no una sustitución de la Fase 5.</w:t>
      </w:r>
    </w:p>
    <w:p w14:paraId="3D20A160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SECUENCIA DE LA INVESTIGACIÓN</w:t>
      </w:r>
    </w:p>
    <w:p w14:paraId="27DBC721" w14:textId="77777777" w:rsidR="003E315E" w:rsidRPr="003E315E" w:rsidRDefault="003E315E" w:rsidP="003E315E">
      <w:pPr>
        <w:numPr>
          <w:ilvl w:val="0"/>
          <w:numId w:val="1"/>
        </w:num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Fase 2. Diseño científico del FRR</w:t>
      </w:r>
    </w:p>
    <w:p w14:paraId="3572FC01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Versión candidata desarrollada</w:t>
      </w:r>
    </w:p>
    <w:p w14:paraId="173A82FD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Cerrar la arquitectura, contrastar los 17 indicadores de la plataforma con los 42 candidatos y documentar las fórmulas.</w:t>
      </w:r>
    </w:p>
    <w:p w14:paraId="3ABFE878" w14:textId="77777777" w:rsidR="003E315E" w:rsidRPr="003E315E" w:rsidRDefault="003E315E" w:rsidP="003E315E">
      <w:pPr>
        <w:numPr>
          <w:ilvl w:val="0"/>
          <w:numId w:val="1"/>
        </w:num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Preparación de Fase 3. Evaluación preliminar de expertos</w:t>
      </w:r>
    </w:p>
    <w:p w14:paraId="6F462526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 xml:space="preserve">Los tres expertos revisarán pertinencia, claridad, fórmulas, </w:t>
      </w:r>
      <w:proofErr w:type="spellStart"/>
      <w:r w:rsidRPr="003E315E">
        <w:rPr>
          <w:sz w:val="24"/>
          <w:szCs w:val="24"/>
        </w:rPr>
        <w:t>medibilidad</w:t>
      </w:r>
      <w:proofErr w:type="spellEnd"/>
      <w:r w:rsidRPr="003E315E">
        <w:rPr>
          <w:sz w:val="24"/>
          <w:szCs w:val="24"/>
        </w:rPr>
        <w:t>, salvaguardas y aplicabilidad. Ajustaremos el instrumento antes de usarlo.</w:t>
      </w:r>
    </w:p>
    <w:p w14:paraId="710C0FAC" w14:textId="77777777" w:rsidR="003E315E" w:rsidRPr="003E315E" w:rsidRDefault="003E315E" w:rsidP="003E315E">
      <w:pPr>
        <w:numPr>
          <w:ilvl w:val="0"/>
          <w:numId w:val="1"/>
        </w:num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Fase 3. Datos empresariales y redes neuronales</w:t>
      </w:r>
    </w:p>
    <w:p w14:paraId="76C236D6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Auditar empresas y periodos, calcular indicadores verificables, evaluar la viabilidad de la ANN y comparar sus resultados con modelos más sencillos.</w:t>
      </w:r>
    </w:p>
    <w:p w14:paraId="13BEAB9A" w14:textId="77777777" w:rsidR="003E315E" w:rsidRPr="003E315E" w:rsidRDefault="003E315E" w:rsidP="003E315E">
      <w:pPr>
        <w:numPr>
          <w:ilvl w:val="0"/>
          <w:numId w:val="1"/>
        </w:num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Fase 4. Simulación de escenarios</w:t>
      </w:r>
    </w:p>
    <w:p w14:paraId="14C9F02A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Evaluar escenarios optimista, esperado y pesimista, además de la sensibilidad del IRR ante cambios de pesos, umbrales y desempeño.</w:t>
      </w:r>
    </w:p>
    <w:p w14:paraId="220F3E19" w14:textId="77777777" w:rsidR="003E315E" w:rsidRPr="003E315E" w:rsidRDefault="003E315E" w:rsidP="003E315E">
      <w:pPr>
        <w:numPr>
          <w:ilvl w:val="0"/>
          <w:numId w:val="1"/>
        </w:num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Fase 5. Validación integral y artículo</w:t>
      </w:r>
    </w:p>
    <w:p w14:paraId="3DCDF975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lastRenderedPageBreak/>
        <w:t>Someter el Framework integrado a evaluación, documentar los ajustes y completar resultados, discusión y conclusiones.</w:t>
      </w:r>
    </w:p>
    <w:p w14:paraId="21E7D612" w14:textId="77777777" w:rsidR="003E315E" w:rsidRPr="003E315E" w:rsidRDefault="003E315E" w:rsidP="003E315E">
      <w:pPr>
        <w:jc w:val="both"/>
        <w:rPr>
          <w:b/>
          <w:bCs/>
          <w:sz w:val="24"/>
          <w:szCs w:val="24"/>
        </w:rPr>
      </w:pPr>
      <w:r w:rsidRPr="003E315E">
        <w:rPr>
          <w:b/>
          <w:bCs/>
          <w:sz w:val="24"/>
          <w:szCs w:val="24"/>
        </w:rPr>
        <w:t>¿Cómo trabajaremos con los tres expertos?</w:t>
      </w:r>
    </w:p>
    <w:p w14:paraId="60AA76D7" w14:textId="54057B88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drawing>
          <wp:inline distT="0" distB="0" distL="0" distR="0" wp14:anchorId="7160F794" wp14:editId="19E8A4D1">
            <wp:extent cx="5400040" cy="4115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15E">
        <w:rPr>
          <w:sz w:val="24"/>
          <w:szCs w:val="24"/>
        </w:rPr>
        <w:t>El segundo resultado nos indicaría que debemos revisar las observaciones y posiblemente reformular el indicador. No significa que todo el Framework quede rechazado. Además, W de Kendall solo se utilizará cuando el diseño de las valoraciones permita analizar concordancia entre expertos.</w:t>
      </w:r>
    </w:p>
    <w:p w14:paraId="069DF412" w14:textId="77777777" w:rsidR="003E315E" w:rsidRPr="003E315E" w:rsidRDefault="003E315E" w:rsidP="003E315E">
      <w:pPr>
        <w:jc w:val="both"/>
        <w:rPr>
          <w:b/>
          <w:bCs/>
          <w:sz w:val="24"/>
          <w:szCs w:val="24"/>
        </w:rPr>
      </w:pPr>
      <w:r w:rsidRPr="003E315E">
        <w:rPr>
          <w:b/>
          <w:bCs/>
          <w:sz w:val="24"/>
          <w:szCs w:val="24"/>
        </w:rPr>
        <w:t>¿Qué debemos hacer primero?</w:t>
      </w:r>
    </w:p>
    <w:p w14:paraId="74A90178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Propongo este orden inmediato: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883"/>
        <w:gridCol w:w="3624"/>
      </w:tblGrid>
      <w:tr w:rsidR="003E315E" w:rsidRPr="003E315E" w14:paraId="103D2FE7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5BDF" w14:textId="77777777" w:rsidR="003E315E" w:rsidRPr="003E315E" w:rsidRDefault="003E315E" w:rsidP="003E315E">
            <w:pPr>
              <w:jc w:val="both"/>
              <w:rPr>
                <w:b/>
                <w:bCs/>
                <w:sz w:val="24"/>
                <w:szCs w:val="24"/>
              </w:rPr>
            </w:pPr>
            <w:r w:rsidRPr="003E315E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C93367B" w14:textId="77777777" w:rsidR="003E315E" w:rsidRPr="003E315E" w:rsidRDefault="003E315E" w:rsidP="003E315E">
            <w:pPr>
              <w:jc w:val="both"/>
              <w:rPr>
                <w:b/>
                <w:bCs/>
                <w:sz w:val="24"/>
                <w:szCs w:val="24"/>
              </w:rPr>
            </w:pPr>
            <w:r w:rsidRPr="003E315E">
              <w:rPr>
                <w:b/>
                <w:bCs/>
                <w:sz w:val="24"/>
                <w:szCs w:val="24"/>
              </w:rPr>
              <w:t>Trabajo</w:t>
            </w:r>
          </w:p>
        </w:tc>
        <w:tc>
          <w:tcPr>
            <w:tcW w:w="0" w:type="auto"/>
            <w:vAlign w:val="center"/>
            <w:hideMark/>
          </w:tcPr>
          <w:p w14:paraId="269DD691" w14:textId="77777777" w:rsidR="003E315E" w:rsidRPr="003E315E" w:rsidRDefault="003E315E" w:rsidP="003E315E">
            <w:pPr>
              <w:jc w:val="both"/>
              <w:rPr>
                <w:b/>
                <w:bCs/>
                <w:sz w:val="24"/>
                <w:szCs w:val="24"/>
              </w:rPr>
            </w:pPr>
            <w:r w:rsidRPr="003E315E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3E315E" w:rsidRPr="003E315E" w14:paraId="0AD31C24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F60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EB106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Revisar los 17 indicadores programados frente a los 42 candidatos</w:t>
            </w:r>
          </w:p>
        </w:tc>
        <w:tc>
          <w:tcPr>
            <w:tcW w:w="0" w:type="auto"/>
            <w:vAlign w:val="center"/>
            <w:hideMark/>
          </w:tcPr>
          <w:p w14:paraId="4EEA3A80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Matriz de correspondencia y decisión justificada</w:t>
            </w:r>
          </w:p>
        </w:tc>
      </w:tr>
      <w:tr w:rsidR="003E315E" w:rsidRPr="003E315E" w14:paraId="23BA0195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4A2C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9638F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Verificar las fórmulas y campos de la plataforma</w:t>
            </w:r>
          </w:p>
        </w:tc>
        <w:tc>
          <w:tcPr>
            <w:tcW w:w="0" w:type="auto"/>
            <w:vAlign w:val="center"/>
            <w:hideMark/>
          </w:tcPr>
          <w:p w14:paraId="11BD3C2B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Versión FRR 1.0 preparada para evaluación</w:t>
            </w:r>
          </w:p>
        </w:tc>
      </w:tr>
      <w:tr w:rsidR="003E315E" w:rsidRPr="003E315E" w14:paraId="54FC4849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814E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C4E73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Elaborar el instrumento para los tres expertos</w:t>
            </w:r>
          </w:p>
        </w:tc>
        <w:tc>
          <w:tcPr>
            <w:tcW w:w="0" w:type="auto"/>
            <w:vAlign w:val="center"/>
            <w:hideMark/>
          </w:tcPr>
          <w:p w14:paraId="065A65B3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Cuestionario y dossier científico</w:t>
            </w:r>
          </w:p>
        </w:tc>
      </w:tr>
      <w:tr w:rsidR="003E315E" w:rsidRPr="003E315E" w14:paraId="11F1D88B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0490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0B205AB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Exportar las empresas y sus variables disponibles</w:t>
            </w:r>
          </w:p>
        </w:tc>
        <w:tc>
          <w:tcPr>
            <w:tcW w:w="0" w:type="auto"/>
            <w:vAlign w:val="center"/>
            <w:hideMark/>
          </w:tcPr>
          <w:p w14:paraId="3890469D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Base de datos auditada y número real de casos utilizables</w:t>
            </w:r>
          </w:p>
        </w:tc>
      </w:tr>
      <w:tr w:rsidR="003E315E" w:rsidRPr="003E315E" w14:paraId="3406DA2D" w14:textId="77777777" w:rsidTr="003E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085E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06B6A5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Incorporar respuestas de expertos y resultados empresariales</w:t>
            </w:r>
          </w:p>
        </w:tc>
        <w:tc>
          <w:tcPr>
            <w:tcW w:w="0" w:type="auto"/>
            <w:vAlign w:val="center"/>
            <w:hideMark/>
          </w:tcPr>
          <w:p w14:paraId="4599B022" w14:textId="77777777" w:rsidR="003E315E" w:rsidRPr="003E315E" w:rsidRDefault="003E315E" w:rsidP="003E315E">
            <w:pPr>
              <w:jc w:val="both"/>
              <w:rPr>
                <w:sz w:val="24"/>
                <w:szCs w:val="24"/>
              </w:rPr>
            </w:pPr>
            <w:r w:rsidRPr="003E315E">
              <w:rPr>
                <w:sz w:val="24"/>
                <w:szCs w:val="24"/>
              </w:rPr>
              <w:t>Actualización progresiva del modelo y del artículo</w:t>
            </w:r>
          </w:p>
        </w:tc>
      </w:tr>
    </w:tbl>
    <w:p w14:paraId="05ECB150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Mi recomendación es comenzar por la matriz de correspondencia de indicadores. Es la pieza que conecta la Fase 2 con el desarrollador de la plataforma, el cuestionario de expertos y los datos que necesitaremos para la Fase 3.</w:t>
      </w:r>
    </w:p>
    <w:p w14:paraId="645B100B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Así evitaremos un problema serio: pedir a los expertos que validen 42 indicadores mientras la plataforma calcula únicamente 17, sin haber documentado por qué se eligieron unos y se excluyeron otros.</w:t>
      </w:r>
    </w:p>
    <w:p w14:paraId="148368DD" w14:textId="77777777" w:rsidR="003E315E" w:rsidRPr="003E315E" w:rsidRDefault="003E315E" w:rsidP="003E315E">
      <w:pPr>
        <w:jc w:val="both"/>
        <w:rPr>
          <w:sz w:val="24"/>
          <w:szCs w:val="24"/>
        </w:rPr>
      </w:pPr>
      <w:r w:rsidRPr="003E315E">
        <w:rPr>
          <w:sz w:val="24"/>
          <w:szCs w:val="24"/>
        </w:rPr>
        <w:t>La meta inmediata no es tener una plataforma llena de cálculos, sino un FRR científicamente fundamentado, programable, verificable y preparado para contrastarse con datos reales.</w:t>
      </w:r>
    </w:p>
    <w:p w14:paraId="6FF4EE3E" w14:textId="77777777" w:rsidR="003F32F4" w:rsidRPr="003E315E" w:rsidRDefault="003F32F4" w:rsidP="003E315E">
      <w:pPr>
        <w:jc w:val="both"/>
        <w:rPr>
          <w:sz w:val="24"/>
          <w:szCs w:val="24"/>
        </w:rPr>
      </w:pPr>
    </w:p>
    <w:sectPr w:rsidR="003F32F4" w:rsidRPr="003E3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A740B"/>
    <w:multiLevelType w:val="multilevel"/>
    <w:tmpl w:val="233A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5E"/>
    <w:rsid w:val="003E315E"/>
    <w:rsid w:val="003F32F4"/>
    <w:rsid w:val="00850026"/>
    <w:rsid w:val="00C22258"/>
    <w:rsid w:val="00CA6611"/>
    <w:rsid w:val="00F474BC"/>
    <w:rsid w:val="00F6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BD9EE"/>
  <w15:chartTrackingRefBased/>
  <w15:docId w15:val="{9353FA67-5818-477E-BB82-5A858063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5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1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82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9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077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192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30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68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944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01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800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85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1601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4768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494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441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717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2914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001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793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741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4751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083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603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Pañi Ochoa</dc:creator>
  <cp:keywords/>
  <dc:description/>
  <cp:lastModifiedBy>Liliana Pañi Ochoa</cp:lastModifiedBy>
  <cp:revision>1</cp:revision>
  <dcterms:created xsi:type="dcterms:W3CDTF">2026-10-14T08:18:00Z</dcterms:created>
  <dcterms:modified xsi:type="dcterms:W3CDTF">2026-10-14T08:20:00Z</dcterms:modified>
</cp:coreProperties>
</file>