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FASE 2 · ANEXO TÉCNICO DE PARAMETRIZACIÓN DEL FRR</w:t>
      </w:r>
    </w:p>
    <w:p>
      <w:r>
        <w:t>Versión controlada 1.0 | 14 de octubre de 2026 | Entrega a desarrollo de plataforma y soporte metodológico del artículo científico</w:t>
      </w:r>
    </w:p>
    <w:p>
      <w:pPr>
        <w:pStyle w:val="Heading1"/>
      </w:pPr>
      <w:r>
        <w:t>1. Alcance y estado científico</w:t>
      </w:r>
    </w:p>
    <w:p>
      <w:r>
        <w:t>Este anexo integra los dos archivos suministrados por la desarrolladora: Framework_indicadores_KPI.xlsx y matriz_referencias_FRR.csv, y contrasta el CSV de parametrización preliminar. La entrega consolida 42 KPI candidatos, no 47. «Definitiva» significa que el catálogo y las reglas de registro quedan consolidados para esta entrega; no significa que los 42 KPI, los pesos, las referencias ni el IRR estén validados científicamente.</w:t>
      </w:r>
    </w:p>
    <w:p>
      <w:r>
        <w:t>Se preservan exactamente los campos codigo, dimension, indicador, formula, unidad, sentido y correspondencia_v0 del CSV original. Los indicadores conservan estado_kpi=CAND y estado_referencia=PROP; no se adjudica la categoría ACT ni VALIDADO sin evidencia de decisión formal.</w:t>
      </w:r>
    </w:p>
    <w:p>
      <w:pPr>
        <w:pStyle w:val="Heading1"/>
      </w:pPr>
      <w:r>
        <w:t>2. Resultado de la auditoría</w:t>
      </w:r>
    </w:p>
    <w:p>
      <w:pPr>
        <w:pStyle w:val="ListBullet"/>
      </w:pPr>
      <w:r>
        <w:t>5 KPI: referencias empíricas provisionales conservadas.</w:t>
      </w:r>
    </w:p>
    <w:p>
      <w:pPr>
        <w:pStyle w:val="ListBullet"/>
      </w:pPr>
      <w:r>
        <w:t>20 KPI: anclas matemáticas condicionales propuestas.</w:t>
      </w:r>
    </w:p>
    <w:p>
      <w:pPr>
        <w:pStyle w:val="ListBullet"/>
      </w:pPr>
      <w:r>
        <w:t>17 KPI: referencias aún no justificadas.</w:t>
      </w:r>
    </w:p>
    <w:p>
      <w:r>
        <w:t>Los indicadores económicos E1–E5 conservan los percentiles originales 2025 (muestras n=92, 91, 87 y 82 según cada KPI). Es indispensable contrastar los percentiles con la exportación de datos de origen y el procedimiento de exclusión de observaciones.</w:t>
      </w:r>
    </w:p>
    <w:p>
      <w:pPr>
        <w:pStyle w:val="Heading1"/>
      </w:pPr>
      <w:r>
        <w:t>3. Definición formal de referencias y normalización</w:t>
      </w:r>
    </w:p>
    <w:p>
      <w:r>
        <w:t>xᵢ = resultado bruto observado del KPI i; Lᵢ = ancla inferior; Uᵢ = ancla superior; zᵢ = puntuación normalizada entre 0 y 1. El índice i identifica un KPI. BEN indica que valores mayores son preferibles; COS que valores menores son preferibles; OBJ que existe un valor objetivo.</w:t>
      </w:r>
    </w:p>
    <w:p>
      <w:r>
        <w:t>BEN: zᵢ = max(0, min(1, (xᵢ − Lᵢ)/(Uᵢ − Lᵢ))). COS: zᵢ = max(0, min(1, (Uᵢ − xᵢ)/(Uᵢ − Lᵢ))). Requiere Uᵢ &gt; Lᵢ, datos numéricos válidos y unidad idéntica entre xᵢ, Lᵢ y Uᵢ. Los casos fuera del rango se saturan en 0 o 1 y deben quedar trazados.</w:t>
      </w:r>
    </w:p>
    <w:p>
      <w:r>
        <w:t>OBJ: requiere objetivo Tᵢ y tolerancia Hᵢ positivos y documentados; no se aplicará automáticamente la fórmula BEN o COS. La función exacta de distancia al objetivo debe especificarse y validarse antes de activarla. S6 es OBJ.</w:t>
      </w:r>
    </w:p>
    <w:p>
      <w:r>
        <w:t>L y U matemáticos 0–1 solo se admiten provisionalmente si el KPI es una fracción parte/total, el denominador es positivo y el numerador no supera el denominador. No se deben confundir límites algebraicos con benchmarks de excelencia, cumplimiento normativo o evidencia regenerativa.</w:t>
      </w:r>
    </w:p>
    <w:p>
      <w:pPr>
        <w:pStyle w:val="Heading1"/>
      </w:pPr>
      <w:r>
        <w:t>4. Reglas de calidad y bloqueos</w:t>
      </w:r>
    </w:p>
    <w:p>
      <w:pPr>
        <w:pStyle w:val="ListBullet"/>
      </w:pPr>
      <w:r>
        <w:t>No calcular una puntuación cuando el denominador del KPI sea cero o negativo, ni cuando no haya fuente verificable del dato.</w:t>
      </w:r>
    </w:p>
    <w:p>
      <w:pPr>
        <w:pStyle w:val="ListBullet"/>
      </w:pPr>
      <w:r>
        <w:t>No convertir valores faltantes, no verificados o no aplicables en cero. Registrar el motivo.</w:t>
      </w:r>
    </w:p>
    <w:p>
      <w:pPr>
        <w:pStyle w:val="ListBullet"/>
      </w:pPr>
      <w:r>
        <w:t>No activar KPI pendientes; mantener su fórmula y estructura disponibles para auditoría.</w:t>
      </w:r>
    </w:p>
    <w:p>
      <w:pPr>
        <w:pStyle w:val="ListBullet"/>
      </w:pPr>
      <w:r>
        <w:t>No producir IRR integral ni etiqueta regenerativa cuando falten dimensiones o salvaguardas críticas.</w:t>
      </w:r>
    </w:p>
    <w:p>
      <w:pPr>
        <w:pStyle w:val="ListBullet"/>
      </w:pPr>
      <w:r>
        <w:t>No utilizar 0–1 para tasas no acotadas, intensidades físicas, tiempos, índices netos de cambio o KPI objetivo.</w:t>
      </w:r>
    </w:p>
    <w:p>
      <w:pPr>
        <w:pStyle w:val="ListBullet"/>
      </w:pPr>
      <w:r>
        <w:t>Distinguir la evaluación financiera de evidencia de restauración ecológica y de resultados sociales netos.</w:t>
      </w:r>
    </w:p>
    <w:p>
      <w:pPr>
        <w:pStyle w:val="ListBullet"/>
      </w:pPr>
      <w:r>
        <w:t>Mantener versión de referencias, periodo, población, sector y evidencia para reproducibilidad.</w:t>
      </w:r>
    </w:p>
    <w:p>
      <w:pPr>
        <w:pStyle w:val="Heading1"/>
      </w:pPr>
      <w:r>
        <w:t>5. Tabla de decisión por indicador</w:t>
      </w:r>
    </w:p>
    <w:p>
      <w:pPr>
        <w:pStyle w:val="Heading2"/>
      </w:pPr>
      <w:r>
        <w:t>D1 · Rentabilidad económica</w:t>
      </w:r>
    </w:p>
    <w:p>
      <w:r>
        <w:t>E1 · Margen de seguridad | EMP_PROVISIONAL | L=-0,057985; U=0,65902; T=pendiente; H=pendiente.</w:t>
      </w:r>
    </w:p>
    <w:p>
      <w:r>
        <w:t>Fórmula conservada: (V − PE)/V. Referencia EMP original; verificar cálculo de percentiles y muestra; no constituye validación externa.</w:t>
      </w:r>
    </w:p>
    <w:p>
      <w:r>
        <w:t>E2 · Margen neto | EMP_PROVISIONAL | L=-0,048826; U=0,187207; T=pendiente; H=pendiente.</w:t>
      </w:r>
    </w:p>
    <w:p>
      <w:r>
        <w:t>Fórmula conservada: UN/V. Referencia EMP original; verificar cálculo de percentiles y muestra; no constituye validación externa.</w:t>
      </w:r>
    </w:p>
    <w:p>
      <w:r>
        <w:t>E4 · Razón corriente | EMP_PROVISIONAL | L=0,73; U=4,34; T=pendiente; H=pendiente.</w:t>
      </w:r>
    </w:p>
    <w:p>
      <w:r>
        <w:t>Fórmula conservada: AC/PC. Referencia EMP original; verificar cálculo de percentiles y muestra; no constituye validación externa.</w:t>
      </w:r>
    </w:p>
    <w:p>
      <w:r>
        <w:t>E7 · Tasa de reinversión | PENDIENTE | L=pendiente; U=pendiente; T=pendiente; H=pendiente.</w:t>
      </w:r>
    </w:p>
    <w:p>
      <w:r>
        <w:t>Fórmula conservada: RI/B. Requiere benchmark normativo, sectorial o empírico documentado, con unidad, periodo y población comparables.</w:t>
      </w:r>
    </w:p>
    <w:p>
      <w:r>
        <w:t>E3 · ROA | EMP_PROVISIONAL | L=-0,065791; U=0,360554; T=pendiente; H=pendiente.</w:t>
      </w:r>
    </w:p>
    <w:p>
      <w:r>
        <w:t>Fórmula conservada: UN/A_prom. Referencia EMP original; verificar cálculo de percentiles y muestra; no constituye validación externa.</w:t>
      </w:r>
    </w:p>
    <w:p>
      <w:r>
        <w:t>E5 · Crecimiento de ingresos | EMP_PROVISIONAL | L=-0,172879; U=2,560195; T=pendiente; H=pendiente.</w:t>
      </w:r>
    </w:p>
    <w:p>
      <w:r>
        <w:t>Fórmula conservada: (V_t − V_t−1)/V_t−1. Referencia EMP original; verificar cálculo de percentiles y muestra; no constituye validación externa.</w:t>
      </w:r>
    </w:p>
    <w:p>
      <w:r>
        <w:t>E6 · Margen de flujo operativo | PENDIENTE | L=pendiente; U=pendiente; T=pendiente; H=pendiente.</w:t>
      </w:r>
    </w:p>
    <w:p>
      <w:r>
        <w:t>Fórmula conservada: FCO/V. Requiere benchmark normativo, sectorial o empírico documentado, con unidad, periodo y población comparables.</w:t>
      </w:r>
    </w:p>
    <w:p>
      <w:pPr>
        <w:pStyle w:val="Heading2"/>
      </w:pPr>
      <w:r>
        <w:t>D2 · Regeneración ambiental</w:t>
      </w:r>
    </w:p>
    <w:p>
      <w:r>
        <w:t>A1 · Intensidad material | PENDIENTE | L=pendiente; U=pendiente; T=pendiente; H=pendiente.</w:t>
      </w:r>
    </w:p>
    <w:p>
      <w:r>
        <w:t>Fórmula conservada: M/Q. Requiere benchmark normativo, sectorial o empírico documentado, con unidad, periodo y población comparables.</w:t>
      </w:r>
    </w:p>
    <w:p>
      <w:r>
        <w:t>A10 · Resultado ecológico neto | PENDIENTE | L=pendiente; U=pendiente; T=pendiente; H=pendiente.</w:t>
      </w:r>
    </w:p>
    <w:p>
      <w:r>
        <w:t>Fórmula conservada: Y_t − Y_0. Requiere benchmark normativo, sectorial o empírico documentado, con unidad, periodo y población comparables.</w:t>
      </w:r>
    </w:p>
    <w:p>
      <w:r>
        <w:t>A2 · Contenido recuperado | MAT_CONDICIONAL | L=0; U=1; T=pendiente; H=pendiente.</w:t>
      </w:r>
    </w:p>
    <w:p>
      <w:r>
        <w:t>Fórmula conservada: MR/MT. Límite matemático condicional; debe validarse su interpretación como ancla de normalización.</w:t>
      </w:r>
    </w:p>
    <w:p>
      <w:r>
        <w:t>A3 · Intensidad energética | PENDIENTE | L=pendiente; U=pendiente; T=pendiente; H=pendiente.</w:t>
      </w:r>
    </w:p>
    <w:p>
      <w:r>
        <w:t>Fórmula conservada: EN/Q. Requiere benchmark normativo, sectorial o empírico documentado, con unidad, periodo y población comparables.</w:t>
      </w:r>
    </w:p>
    <w:p>
      <w:r>
        <w:t>A4 · Energía renovable | MAT_CONDICIONAL | L=0; U=1; T=pendiente; H=pendiente.</w:t>
      </w:r>
    </w:p>
    <w:p>
      <w:r>
        <w:t>Fórmula conservada: ER/ET. Límite matemático condicional; debe validarse su interpretación como ancla de normalización.</w:t>
      </w:r>
    </w:p>
    <w:p>
      <w:r>
        <w:t>A5 · Intensidad hídrica | PENDIENTE | L=pendiente; U=pendiente; T=pendiente; H=pendiente.</w:t>
      </w:r>
    </w:p>
    <w:p>
      <w:r>
        <w:t>Fórmula conservada: AG/Q. Requiere benchmark normativo, sectorial o empírico documentado, con unidad, periodo y población comparables.</w:t>
      </w:r>
    </w:p>
    <w:p>
      <w:r>
        <w:t>A8 · Valorización de residuos | MAT_CONDICIONAL | L=0; U=1; T=pendiente; H=pendiente.</w:t>
      </w:r>
    </w:p>
    <w:p>
      <w:r>
        <w:t>Fórmula conservada: RV/RS. Límite matemático condicional; debe validarse su interpretación como ancla de normalización.</w:t>
      </w:r>
    </w:p>
    <w:p>
      <w:r>
        <w:t>A6 · Intensidad GEI | PENDIENTE | L=pendiente; U=pendiente; T=pendiente; H=pendiente.</w:t>
      </w:r>
    </w:p>
    <w:p>
      <w:r>
        <w:t>Fórmula conservada: CO2e/Q. Requiere benchmark normativo, sectorial o empírico documentado, con unidad, periodo y población comparables.</w:t>
      </w:r>
    </w:p>
    <w:p>
      <w:r>
        <w:t>A9 · Compras ambientales | MAT_CONDICIONAL | L=0; U=1; T=pendiente; H=pendiente.</w:t>
      </w:r>
    </w:p>
    <w:p>
      <w:r>
        <w:t>Fórmula conservada: CA/CT. Límite matemático condicional; debe validarse su interpretación como ancla de normalización.</w:t>
      </w:r>
    </w:p>
    <w:p>
      <w:r>
        <w:t>A7 · Intensidad de residuos | PENDIENTE | L=pendiente; U=pendiente; T=pendiente; H=pendiente.</w:t>
      </w:r>
    </w:p>
    <w:p>
      <w:r>
        <w:t>Fórmula conservada: RS/Q. Requiere benchmark normativo, sectorial o empírico documentado, con unidad, periodo y población comparables.</w:t>
      </w:r>
    </w:p>
    <w:p>
      <w:pPr>
        <w:pStyle w:val="Heading2"/>
      </w:pPr>
      <w:r>
        <w:t>D3 · Valor social</w:t>
      </w:r>
    </w:p>
    <w:p>
      <w:r>
        <w:t>S1 · Empleo formal/estable | MAT_CONDICIONAL | L=0; U=1; T=pendiente; H=pendiente.</w:t>
      </w:r>
    </w:p>
    <w:p>
      <w:r>
        <w:t>Fórmula conservada: EF/ET. Límite matemático condicional; debe validarse su interpretación como ancla de normalización.</w:t>
      </w:r>
    </w:p>
    <w:p>
      <w:r>
        <w:t>S8 · Debida diligencia social | MAT_CONDICIONAL | L=0; U=1; T=pendiente; H=pendiente.</w:t>
      </w:r>
    </w:p>
    <w:p>
      <w:r>
        <w:t>Fórmula conservada: PR/PT. Límite matemático condicional; debe validarse su interpretación como ancla de normalización.</w:t>
      </w:r>
    </w:p>
    <w:p>
      <w:r>
        <w:t>S2 · Rotación voluntaria | PENDIENTE | L=pendiente; U=pendiente; T=pendiente; H=pendiente.</w:t>
      </w:r>
    </w:p>
    <w:p>
      <w:r>
        <w:t>Fórmula conservada: BV/EP. Requiere benchmark normativo, sectorial o empírico documentado, con unidad, periodo y población comparables.</w:t>
      </w:r>
    </w:p>
    <w:p>
      <w:r>
        <w:t>S9 · Resolución de quejas | MAT_CONDICIONAL | L=0; U=1; T=pendiente; H=pendiente.</w:t>
      </w:r>
    </w:p>
    <w:p>
      <w:r>
        <w:t>Fórmula conservada: QR/QT. Límite matemático condicional; debe validarse su interpretación como ancla de normalización.</w:t>
      </w:r>
    </w:p>
    <w:p>
      <w:r>
        <w:t>S10 · Participación de stakeholders | MAT_CONDICIONAL | L=0; U=1; T=pendiente; H=pendiente.</w:t>
      </w:r>
    </w:p>
    <w:p>
      <w:r>
        <w:t>Fórmula conservada: PI/PE. Límite matemático condicional; debe validarse su interpretación como ancla de normalización.</w:t>
      </w:r>
    </w:p>
    <w:p>
      <w:r>
        <w:t>S3 · Brecha salarial ajustada | PENDIENTE | L=pendiente; U=pendiente; T=pendiente; H=pendiente.</w:t>
      </w:r>
    </w:p>
    <w:p>
      <w:r>
        <w:t>Fórmula conservada: (SR − SC)/SR. Requiere benchmark normativo, sectorial o empírico documentado, con unidad, periodo y población comparables.</w:t>
      </w:r>
    </w:p>
    <w:p>
      <w:r>
        <w:t>S11 · Resultado comunitario | PENDIENTE | L=pendiente; U=pendiente; T=pendiente; H=pendiente.</w:t>
      </w:r>
    </w:p>
    <w:p>
      <w:r>
        <w:t>Fórmula conservada: ΔYC = YC_t − YC_0. Requiere benchmark normativo, sectorial o empírico documentado, con unidad, periodo y población comparables.</w:t>
      </w:r>
    </w:p>
    <w:p>
      <w:r>
        <w:t>S4 · Incidencia de accidentes | PENDIENTE | L=pendiente; U=pendiente; T=pendiente; H=pendiente.</w:t>
      </w:r>
    </w:p>
    <w:p>
      <w:r>
        <w:t>Fórmula conservada: AT×K/HT. Requiere benchmark normativo, sectorial o empírico documentado, con unidad, periodo y población comparables.</w:t>
      </w:r>
    </w:p>
    <w:p>
      <w:r>
        <w:t>S12 · Compras locales | MAT_CONDICIONAL | L=0; U=1; T=pendiente; H=pendiente.</w:t>
      </w:r>
    </w:p>
    <w:p>
      <w:r>
        <w:t>Fórmula conservada: CL/CT. Límite matemático condicional; debe validarse su interpretación como ancla de normalización.</w:t>
      </w:r>
    </w:p>
    <w:p>
      <w:r>
        <w:t>S5 · Bienestar laboral | MAT_CONDICIONAL | L=0; U=1; T=pendiente; H=pendiente.</w:t>
      </w:r>
    </w:p>
    <w:p>
      <w:r>
        <w:t>Fórmula conservada: Σpuntajes/(N×Pmax). Límite matemático condicional; debe validarse su interpretación como ancla de normalización.</w:t>
      </w:r>
    </w:p>
    <w:p>
      <w:r>
        <w:t>S13 · Cobertura de proveedores críticos | MAT_CONDICIONAL | L=0; U=1; T=pendiente; H=pendiente.</w:t>
      </w:r>
    </w:p>
    <w:p>
      <w:r>
        <w:t>Fórmula conservada: PCV/PCT. Límite matemático condicional; debe validarse su interpretación como ancla de normalización.</w:t>
      </w:r>
    </w:p>
    <w:p>
      <w:r>
        <w:t>S6 · Representación inclusiva | PENDIENTE | L=pendiente; U=pendiente; T=pendiente; H=pendiente.</w:t>
      </w:r>
    </w:p>
    <w:p>
      <w:r>
        <w:t>Fórmula conservada: GI/ET. OBJ: requiere objetivo T y tolerancia H por grupo comparable y criterio de equidad.</w:t>
      </w:r>
    </w:p>
    <w:p>
      <w:r>
        <w:t>S7 · Cobertura de formación | MAT_CONDICIONAL | L=0; U=1; T=pendiente; H=pendiente.</w:t>
      </w:r>
    </w:p>
    <w:p>
      <w:r>
        <w:t>Fórmula conservada: PF/PE. Límite matemático condicional; debe validarse su interpretación como ancla de normalización.</w:t>
      </w:r>
    </w:p>
    <w:p>
      <w:pPr>
        <w:pStyle w:val="Heading2"/>
      </w:pPr>
      <w:r>
        <w:t>D4 · Excelencia operacional</w:t>
      </w:r>
    </w:p>
    <w:p>
      <w:r>
        <w:t>O1 · Productividad del recurso crítico | PENDIENTE | L=pendiente; U=pendiente; T=pendiente; H=pendiente.</w:t>
      </w:r>
    </w:p>
    <w:p>
      <w:r>
        <w:t>Fórmula conservada: Q/R. Requiere benchmark normativo, sectorial o empírico documentado, con unidad, periodo y población comparables.</w:t>
      </w:r>
    </w:p>
    <w:p>
      <w:r>
        <w:t>O6 · Tiempo de recuperación | PENDIENTE | L=pendiente; U=pendiente; T=pendiente; H=pendiente.</w:t>
      </w:r>
    </w:p>
    <w:p>
      <w:r>
        <w:t>Fórmula conservada: ΣTR/NE. Requiere benchmark normativo, sectorial o empírico documentado, con unidad, periodo y población comparables.</w:t>
      </w:r>
    </w:p>
    <w:p>
      <w:r>
        <w:t>O9 · Innovación implementada | MAT_CONDICIONAL | L=0; U=1; T=pendiente; H=pendiente.</w:t>
      </w:r>
    </w:p>
    <w:p>
      <w:r>
        <w:t>Fórmula conservada: II/IP. Límite matemático condicional; debe validarse su interpretación como ancla de normalización.</w:t>
      </w:r>
    </w:p>
    <w:p>
      <w:r>
        <w:t>O10 · Acciones de mejora cerradas | MAT_CONDICIONAL | L=0; U=1; T=pendiente; H=pendiente.</w:t>
      </w:r>
    </w:p>
    <w:p>
      <w:r>
        <w:t>Fórmula conservada: AM/AT. Límite matemático condicional; debe validarse su interpretación como ancla de normalización.</w:t>
      </w:r>
    </w:p>
    <w:p>
      <w:r>
        <w:t>O2 · Eficiencia de tiempo | MAT_CONDICIONAL | L=0; U=1; T=pendiente; H=pendiente.</w:t>
      </w:r>
    </w:p>
    <w:p>
      <w:r>
        <w:t>Fórmula conservada: TV/TT. Límite matemático condicional; debe validarse su interpretación como ancla de normalización.</w:t>
      </w:r>
    </w:p>
    <w:p>
      <w:r>
        <w:t>O7 · Continuidad probada | MAT_CONDICIONAL | L=0; U=1; T=pendiente; H=pendiente.</w:t>
      </w:r>
    </w:p>
    <w:p>
      <w:r>
        <w:t>Fórmula conservada: PP/PT. Límite matemático condicional; debe validarse su interpretación como ancla de normalización.</w:t>
      </w:r>
    </w:p>
    <w:p>
      <w:r>
        <w:t>O11 · Participación en mejora | MAT_CONDICIONAL | L=0; U=1; T=pendiente; H=pendiente.</w:t>
      </w:r>
    </w:p>
    <w:p>
      <w:r>
        <w:t>Fórmula conservada: PM/PE. Límite matemático condicional; debe validarse su interpretación como ancla de normalización.</w:t>
      </w:r>
    </w:p>
    <w:p>
      <w:r>
        <w:t>O3 · OEE | MAT_CONDICIONAL | L=0; U=1; T=pendiente; H=pendiente.</w:t>
      </w:r>
    </w:p>
    <w:p>
      <w:r>
        <w:t>Fórmula conservada: D×P×C. Límite matemático condicional; debe validarse su interpretación como ancla de normalización.</w:t>
      </w:r>
    </w:p>
    <w:p>
      <w:r>
        <w:t>O8 · Respuesta al cambio | PENDIENTE | L=pendiente; U=pendiente; T=pendiente; H=pendiente.</w:t>
      </w:r>
    </w:p>
    <w:p>
      <w:r>
        <w:t>Fórmula conservada: ΣTC/NC. Requiere benchmark normativo, sectorial o empírico documentado, con unidad, periodo y población comparables.</w:t>
      </w:r>
    </w:p>
    <w:p>
      <w:r>
        <w:t>O12 · Procesos controlados | MAT_CONDICIONAL | L=0; U=1; T=pendiente; H=pendiente.</w:t>
      </w:r>
    </w:p>
    <w:p>
      <w:r>
        <w:t>Fórmula conservada: PC/PT. Límite matemático condicional; debe validarse su interpretación como ancla de normalización.</w:t>
      </w:r>
    </w:p>
    <w:p>
      <w:r>
        <w:t>O4 · First Pass Yield | MAT_CONDICIONAL | L=0; U=1; T=pendiente; H=pendiente.</w:t>
      </w:r>
    </w:p>
    <w:p>
      <w:r>
        <w:t>Fórmula conservada: UC1/UT. Límite matemático condicional; debe validarse su interpretación como ancla de normalización.</w:t>
      </w:r>
    </w:p>
    <w:p>
      <w:r>
        <w:t>O5 · Fallas/reclamaciones | PENDIENTE | L=pendiente; U=pendiente; T=pendiente; H=pendiente.</w:t>
      </w:r>
    </w:p>
    <w:p>
      <w:r>
        <w:t>Fórmula conservada: NF/UT. Requiere benchmark normativo, sectorial o empírico documentado, con unidad, periodo y población comparables.</w:t>
      </w:r>
    </w:p>
    <w:p>
      <w:pPr>
        <w:pStyle w:val="Heading1"/>
      </w:pPr>
      <w:r>
        <w:t>6. Entregables y decisiones pendientes</w:t>
      </w:r>
    </w:p>
    <w:p>
      <w:r>
        <w:t>Archivo CSV: importación con esquema original y 42 filas. Archivo XLSX: auditoría legible de los 42 KPI, estatus técnico y correspondencias. La desarrolladora debe comprobar compatibilidad del separador «;», codificación UTF-8 con BOM y coma decimal, y reportar rechazos de validación por fila.</w:t>
      </w:r>
    </w:p>
    <w:p>
      <w:r>
        <w:t>Para cerrar la parametrización se requiere: (a) exportación anonimizada de observaciones usadas en E1–E5; (b) información comparable por sector para intensidades, tiempos, tasas no acotadas y resultados netos; (c) definición documentada de T/H de S6; (d) decisión formal sobre activación de KPI y reglas de salvaguarda; (e) revisión experta y sensibilidad de las anclas.</w:t>
      </w:r>
    </w:p>
    <w:p>
      <w:r>
        <w:t>No se han inventado datos de empresas, límites sectoriales, resultados de Delphi, simulaciones ni resultados de ANN. Esta es una entrega técnica consolidada prevalidación.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