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3A7" w:rsidRDefault="007C57C0">
      <w:pPr>
        <w:pStyle w:val="Title"/>
      </w:pPr>
      <w:r>
        <w:t>QTL analysis of behavioral traits in Diversity Outbred Mice</w:t>
      </w:r>
    </w:p>
    <w:p w:rsidR="007553A7" w:rsidRDefault="007C57C0">
      <w:pPr>
        <w:pStyle w:val="FirstParagraph"/>
      </w:pPr>
      <w:r>
        <w:t>This tutorial will take you through the process of mapping a QTL and searching for candidate genes.</w:t>
      </w:r>
    </w:p>
    <w:p w:rsidR="007553A7" w:rsidRDefault="007C57C0">
      <w:pPr>
        <w:pStyle w:val="BodyText"/>
      </w:pPr>
      <w:r>
        <w:t xml:space="preserve">The data comes from a behavioral study in which Diversity Outbred (DO) mice were we characterized </w:t>
      </w:r>
      <w:r>
        <w:rPr>
          <w:i/>
        </w:rPr>
        <w:t>283</w:t>
      </w:r>
      <w:r>
        <w:t xml:space="preserve"> male and female DO mice using open-field, light–dark box, tail-suspension and visual-cliff avoidance tests to generate 38 behavioral measures. We identifi</w:t>
      </w:r>
      <w:r>
        <w:t>ed several quantitative trait loci (QTL) for these traits with support intervals ranging from 1 to 3 Mb in size. These intervals contain relatively few genes (ranging from 5 to 96). For a majority of QTL, using the founder allelic effects together with who</w:t>
      </w:r>
      <w:r>
        <w:t>le genome sequence data, we could further narrow the positional candidates. Several QTL replicate previously published loci. Novel loci were also identified for anxiety- and activity-related traits. Half of the QTLs are associated with wild-derived alleles</w:t>
      </w:r>
      <w:r>
        <w:t>, confirming the value to behavioral genetics of added genetic diversity in the DO. In the presence of wild-alleles we sometimes observe behaviors that are qualitatively different from the expected response. Our results demonstrate that high-precision mapp</w:t>
      </w:r>
      <w:r>
        <w:t>ing of behavioral traits can be achieved with moderate numbers of DO animals, representing a significant advance in our ability to leverage the mouse as a tool for behavioral genetics</w:t>
      </w:r>
    </w:p>
    <w:p w:rsidR="007553A7" w:rsidRDefault="007C57C0">
      <w:pPr>
        <w:pStyle w:val="BodyText"/>
      </w:pPr>
      <w:r>
        <w:t xml:space="preserve">There are two publications associated with these data. These are </w:t>
      </w:r>
      <w:hyperlink r:id="rId7">
        <w:r>
          <w:rPr>
            <w:rStyle w:val="Hyperlink"/>
          </w:rPr>
          <w:t>Recla JM, et al. (2014) (Mamm Genome 25:211-222)</w:t>
        </w:r>
      </w:hyperlink>
      <w:r>
        <w:t xml:space="preserve"> and </w:t>
      </w:r>
      <w:hyperlink r:id="rId8">
        <w:r>
          <w:rPr>
            <w:rStyle w:val="Hyperlink"/>
          </w:rPr>
          <w:t>Logan RW, et al. (2014) (Genes Brain Behav 12:424-437)</w:t>
        </w:r>
      </w:hyperlink>
    </w:p>
    <w:p w:rsidR="007553A7" w:rsidRDefault="007C57C0">
      <w:pPr>
        <w:pStyle w:val="Heading2"/>
      </w:pPr>
      <w:bookmarkStart w:id="0" w:name="qtl-mapping-workflow"/>
      <w:bookmarkEnd w:id="0"/>
      <w:r>
        <w:lastRenderedPageBreak/>
        <w:t>QTL mapping workflow</w:t>
      </w:r>
    </w:p>
    <w:p w:rsidR="007553A7" w:rsidRDefault="007C57C0">
      <w:pPr>
        <w:pStyle w:val="Figure"/>
      </w:pPr>
      <w:r>
        <w:rPr>
          <w:noProof/>
        </w:rPr>
        <w:drawing>
          <wp:inline distT="0" distB="0" distL="0" distR="0">
            <wp:extent cx="5334000" cy="753680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s/mapping-workflow.png"/>
                    <pic:cNvPicPr>
                      <a:picLocks noChangeAspect="1" noChangeArrowheads="1"/>
                    </pic:cNvPicPr>
                  </pic:nvPicPr>
                  <pic:blipFill>
                    <a:blip r:embed="rId9"/>
                    <a:stretch>
                      <a:fillRect/>
                    </a:stretch>
                  </pic:blipFill>
                  <pic:spPr bwMode="auto">
                    <a:xfrm>
                      <a:off x="0" y="0"/>
                      <a:ext cx="5334000" cy="7536806"/>
                    </a:xfrm>
                    <a:prstGeom prst="rect">
                      <a:avLst/>
                    </a:prstGeom>
                    <a:noFill/>
                    <a:ln w="9525">
                      <a:noFill/>
                      <a:headEnd/>
                      <a:tailEnd/>
                    </a:ln>
                  </pic:spPr>
                </pic:pic>
              </a:graphicData>
            </a:graphic>
          </wp:inline>
        </w:drawing>
      </w:r>
    </w:p>
    <w:p w:rsidR="007553A7" w:rsidRDefault="007C57C0">
      <w:pPr>
        <w:pStyle w:val="Heading3"/>
      </w:pPr>
      <w:bookmarkStart w:id="1" w:name="trait-heritability"/>
      <w:bookmarkEnd w:id="1"/>
      <w:r>
        <w:lastRenderedPageBreak/>
        <w:t>Trai</w:t>
      </w:r>
      <w:r>
        <w:t>t heritability</w:t>
      </w:r>
    </w:p>
    <w:p w:rsidR="007553A7" w:rsidRDefault="007C57C0">
      <w:pPr>
        <w:pStyle w:val="FirstParagraph"/>
      </w:pPr>
      <w:r>
        <w:t xml:space="preserve">Heritability estimates for the 38 behavioral measurements were calculated from the progenitor strain data using variance components from a mixed model with strain as a random effect. </w:t>
      </w:r>
      <w:r>
        <w:rPr>
          <w:noProof/>
        </w:rPr>
        <w:drawing>
          <wp:inline distT="0" distB="0" distL="0" distR="0">
            <wp:extent cx="5334000" cy="535278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s/Table1_h2.png"/>
                    <pic:cNvPicPr>
                      <a:picLocks noChangeAspect="1" noChangeArrowheads="1"/>
                    </pic:cNvPicPr>
                  </pic:nvPicPr>
                  <pic:blipFill>
                    <a:blip r:embed="rId10"/>
                    <a:stretch>
                      <a:fillRect/>
                    </a:stretch>
                  </pic:blipFill>
                  <pic:spPr bwMode="auto">
                    <a:xfrm>
                      <a:off x="0" y="0"/>
                      <a:ext cx="5334000" cy="5352781"/>
                    </a:xfrm>
                    <a:prstGeom prst="rect">
                      <a:avLst/>
                    </a:prstGeom>
                    <a:noFill/>
                    <a:ln w="9525">
                      <a:noFill/>
                      <a:headEnd/>
                      <a:tailEnd/>
                    </a:ln>
                  </pic:spPr>
                </pic:pic>
              </a:graphicData>
            </a:graphic>
          </wp:inline>
        </w:drawing>
      </w:r>
      <w:r>
        <w:t xml:space="preserve"> Heritabilities can also be computed on measurements coll</w:t>
      </w:r>
      <w:r>
        <w:t>ected using the DO by leveraging the information containted in the kinship matrix.</w:t>
      </w:r>
    </w:p>
    <w:p w:rsidR="007553A7" w:rsidRDefault="007C57C0">
      <w:pPr>
        <w:pStyle w:val="Heading3"/>
      </w:pPr>
      <w:bookmarkStart w:id="2" w:name="load-and-explore-the-data"/>
      <w:bookmarkEnd w:id="2"/>
      <w:r>
        <w:t>Load and explore the data</w:t>
      </w:r>
    </w:p>
    <w:p w:rsidR="007553A7" w:rsidRDefault="007C57C0">
      <w:pPr>
        <w:pStyle w:val="SourceCode"/>
      </w:pPr>
      <w:r>
        <w:rPr>
          <w:rStyle w:val="NormalTok"/>
        </w:rPr>
        <w:t>do.cross &lt;-</w:t>
      </w:r>
      <w:r>
        <w:rPr>
          <w:rStyle w:val="StringTok"/>
        </w:rPr>
        <w:t xml:space="preserve"> </w:t>
      </w:r>
      <w:r>
        <w:rPr>
          <w:rStyle w:val="KeywordTok"/>
        </w:rPr>
        <w:t>read_cross2</w:t>
      </w:r>
      <w:r>
        <w:rPr>
          <w:rStyle w:val="NormalTok"/>
        </w:rPr>
        <w:t>(</w:t>
      </w:r>
      <w:r>
        <w:rPr>
          <w:rStyle w:val="StringTok"/>
        </w:rPr>
        <w:t>"../data/DO_2014/DO2014.json"</w:t>
      </w:r>
      <w:r>
        <w:rPr>
          <w:rStyle w:val="NormalTok"/>
        </w:rPr>
        <w:t>)</w:t>
      </w:r>
      <w:r>
        <w:br/>
      </w:r>
      <w:r>
        <w:rPr>
          <w:rStyle w:val="KeywordTok"/>
        </w:rPr>
        <w:t>summary</w:t>
      </w:r>
      <w:r>
        <w:rPr>
          <w:rStyle w:val="NormalTok"/>
        </w:rPr>
        <w:t>(do.cross)</w:t>
      </w:r>
    </w:p>
    <w:p w:rsidR="007553A7" w:rsidRDefault="007C57C0">
      <w:pPr>
        <w:pStyle w:val="SourceCode"/>
      </w:pPr>
      <w:r>
        <w:rPr>
          <w:rStyle w:val="VerbatimChar"/>
        </w:rPr>
        <w:t>## Object of class cross2 (crosstype "do")</w:t>
      </w:r>
      <w:r>
        <w:br/>
      </w:r>
      <w:r>
        <w:rPr>
          <w:rStyle w:val="VerbatimChar"/>
        </w:rPr>
        <w:t xml:space="preserve">## </w:t>
      </w:r>
      <w:r>
        <w:br/>
      </w:r>
      <w:r>
        <w:rPr>
          <w:rStyle w:val="VerbatimChar"/>
        </w:rPr>
        <w:t xml:space="preserve">## Total individuals       </w:t>
      </w:r>
      <w:r>
        <w:rPr>
          <w:rStyle w:val="VerbatimChar"/>
        </w:rPr>
        <w:t xml:space="preserve">      261</w:t>
      </w:r>
      <w:r>
        <w:br/>
      </w:r>
      <w:r>
        <w:rPr>
          <w:rStyle w:val="VerbatimChar"/>
        </w:rPr>
        <w:t>## No. genotyped individuals     261</w:t>
      </w:r>
      <w:r>
        <w:br/>
      </w:r>
      <w:r>
        <w:rPr>
          <w:rStyle w:val="VerbatimChar"/>
        </w:rPr>
        <w:t>## No. phenotyped individuals    261</w:t>
      </w:r>
      <w:r>
        <w:br/>
      </w:r>
      <w:r>
        <w:rPr>
          <w:rStyle w:val="VerbatimChar"/>
        </w:rPr>
        <w:lastRenderedPageBreak/>
        <w:t>## No. with both geno &amp; pheno    261</w:t>
      </w:r>
      <w:r>
        <w:br/>
      </w:r>
      <w:r>
        <w:rPr>
          <w:rStyle w:val="VerbatimChar"/>
        </w:rPr>
        <w:t xml:space="preserve">## </w:t>
      </w:r>
      <w:r>
        <w:br/>
      </w:r>
      <w:r>
        <w:rPr>
          <w:rStyle w:val="VerbatimChar"/>
        </w:rPr>
        <w:t>## No. phenotypes                 26</w:t>
      </w:r>
      <w:r>
        <w:br/>
      </w:r>
      <w:r>
        <w:rPr>
          <w:rStyle w:val="VerbatimChar"/>
        </w:rPr>
        <w:t>## No. covariates                  6</w:t>
      </w:r>
      <w:r>
        <w:br/>
      </w:r>
      <w:r>
        <w:rPr>
          <w:rStyle w:val="VerbatimChar"/>
        </w:rPr>
        <w:t>## No. phenotype covariates        0</w:t>
      </w:r>
      <w:r>
        <w:br/>
      </w:r>
      <w:r>
        <w:rPr>
          <w:rStyle w:val="VerbatimChar"/>
        </w:rPr>
        <w:t xml:space="preserve">## </w:t>
      </w:r>
      <w:r>
        <w:br/>
      </w:r>
      <w:r>
        <w:rPr>
          <w:rStyle w:val="VerbatimChar"/>
        </w:rPr>
        <w:t>## No. chromosom</w:t>
      </w:r>
      <w:r>
        <w:rPr>
          <w:rStyle w:val="VerbatimChar"/>
        </w:rPr>
        <w:t>es                20</w:t>
      </w:r>
      <w:r>
        <w:br/>
      </w:r>
      <w:r>
        <w:rPr>
          <w:rStyle w:val="VerbatimChar"/>
        </w:rPr>
        <w:t>## Total markers                6394</w:t>
      </w:r>
      <w:r>
        <w:br/>
      </w:r>
      <w:r>
        <w:rPr>
          <w:rStyle w:val="VerbatimChar"/>
        </w:rPr>
        <w:t xml:space="preserve">## </w:t>
      </w:r>
      <w:r>
        <w:br/>
      </w:r>
      <w:r>
        <w:rPr>
          <w:rStyle w:val="VerbatimChar"/>
        </w:rPr>
        <w:t>## No. markers by chr:</w:t>
      </w:r>
      <w:r>
        <w:br/>
      </w:r>
      <w:r>
        <w:rPr>
          <w:rStyle w:val="VerbatimChar"/>
        </w:rPr>
        <w:t xml:space="preserve">##   1   2   3   4   5   6   7   8   9  10  11  12  13  14  15  16  17  18 </w:t>
      </w:r>
      <w:r>
        <w:br/>
      </w:r>
      <w:r>
        <w:rPr>
          <w:rStyle w:val="VerbatimChar"/>
        </w:rPr>
        <w:t xml:space="preserve">## 448 447 396 376 359 378 348 305 321 358 314 300 306 306 248 246 216 207 </w:t>
      </w:r>
      <w:r>
        <w:br/>
      </w:r>
      <w:r>
        <w:rPr>
          <w:rStyle w:val="VerbatimChar"/>
        </w:rPr>
        <w:t xml:space="preserve">##  19   X </w:t>
      </w:r>
      <w:r>
        <w:br/>
      </w:r>
      <w:r>
        <w:rPr>
          <w:rStyle w:val="VerbatimChar"/>
        </w:rPr>
        <w:t xml:space="preserve">## 146 </w:t>
      </w:r>
      <w:r>
        <w:rPr>
          <w:rStyle w:val="VerbatimChar"/>
        </w:rPr>
        <w:t>369</w:t>
      </w:r>
    </w:p>
    <w:p w:rsidR="007553A7" w:rsidRDefault="007C57C0">
      <w:pPr>
        <w:pStyle w:val="Heading4"/>
      </w:pPr>
      <w:bookmarkStart w:id="3" w:name="the-marker-map"/>
      <w:bookmarkEnd w:id="3"/>
      <w:r>
        <w:t>The Marker Map</w:t>
      </w:r>
    </w:p>
    <w:p w:rsidR="007553A7" w:rsidRDefault="007C57C0">
      <w:pPr>
        <w:pStyle w:val="FirstParagraph"/>
      </w:pPr>
      <w:r>
        <w:t xml:space="preserve">The markers are from a genotyping array called the Mouse Universal Genotyping Array (MUGA) and contains 7,856 SNP markers. Marker locations for the MUGA and other mouse arrays are available from </w:t>
      </w:r>
      <w:hyperlink r:id="rId11">
        <w:r>
          <w:rPr>
            <w:rStyle w:val="Hyperlink"/>
          </w:rPr>
          <w:t>The Jackson Laboratory’s FTP site</w:t>
        </w:r>
      </w:hyperlink>
      <w:r>
        <w:t>.</w:t>
      </w:r>
    </w:p>
    <w:p w:rsidR="007553A7" w:rsidRDefault="007C57C0">
      <w:pPr>
        <w:pStyle w:val="Heading4"/>
      </w:pPr>
      <w:bookmarkStart w:id="4" w:name="phenotype-distributions"/>
      <w:bookmarkEnd w:id="4"/>
      <w:r>
        <w:t>Phenotype distributions</w:t>
      </w:r>
    </w:p>
    <w:p w:rsidR="007553A7" w:rsidRDefault="007C57C0">
      <w:pPr>
        <w:pStyle w:val="FirstParagraph"/>
      </w:pPr>
      <w:r>
        <w:rPr>
          <w:b/>
        </w:rPr>
        <w:t>Open field (OF)</w:t>
      </w:r>
    </w:p>
    <w:p w:rsidR="007553A7" w:rsidRDefault="007C57C0">
      <w:pPr>
        <w:pStyle w:val="BodyText"/>
      </w:pPr>
      <w:r>
        <w:rPr>
          <w:noProof/>
        </w:rPr>
        <w:drawing>
          <wp:inline distT="0" distB="0" distL="0" distR="0">
            <wp:extent cx="3777405" cy="4008421"/>
            <wp:effectExtent l="0" t="0" r="0" b="5080"/>
            <wp:docPr id="3" name="Picture"/>
            <wp:cNvGraphicFramePr/>
            <a:graphic xmlns:a="http://schemas.openxmlformats.org/drawingml/2006/main">
              <a:graphicData uri="http://schemas.openxmlformats.org/drawingml/2006/picture">
                <pic:pic xmlns:pic="http://schemas.openxmlformats.org/drawingml/2006/picture">
                  <pic:nvPicPr>
                    <pic:cNvPr id="0" name="Picture" descr="logan_doqtl_files/figure-docx/plot_phenotypes_OF-1.png"/>
                    <pic:cNvPicPr>
                      <a:picLocks noChangeAspect="1" noChangeArrowheads="1"/>
                    </pic:cNvPicPr>
                  </pic:nvPicPr>
                  <pic:blipFill>
                    <a:blip r:embed="rId12"/>
                    <a:stretch>
                      <a:fillRect/>
                    </a:stretch>
                  </pic:blipFill>
                  <pic:spPr bwMode="auto">
                    <a:xfrm>
                      <a:off x="0" y="0"/>
                      <a:ext cx="3782894" cy="4014245"/>
                    </a:xfrm>
                    <a:prstGeom prst="rect">
                      <a:avLst/>
                    </a:prstGeom>
                    <a:noFill/>
                    <a:ln w="9525">
                      <a:noFill/>
                      <a:headEnd/>
                      <a:tailEnd/>
                    </a:ln>
                  </pic:spPr>
                </pic:pic>
              </a:graphicData>
            </a:graphic>
          </wp:inline>
        </w:drawing>
      </w:r>
    </w:p>
    <w:p w:rsidR="007553A7" w:rsidRDefault="007C57C0">
      <w:pPr>
        <w:pStyle w:val="BodyText"/>
      </w:pPr>
      <w:r>
        <w:rPr>
          <w:b/>
        </w:rPr>
        <w:lastRenderedPageBreak/>
        <w:t>Light Dark (LD)</w:t>
      </w:r>
    </w:p>
    <w:p w:rsidR="007553A7" w:rsidRDefault="007C57C0">
      <w:pPr>
        <w:pStyle w:val="BodyText"/>
      </w:pPr>
      <w:r>
        <w:rPr>
          <w:noProof/>
        </w:rPr>
        <w:drawing>
          <wp:inline distT="0" distB="0" distL="0" distR="0">
            <wp:extent cx="3498783" cy="359984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ogan_doqtl_files/figure-docx/plot_phenotypes_LD-1.png"/>
                    <pic:cNvPicPr>
                      <a:picLocks noChangeAspect="1" noChangeArrowheads="1"/>
                    </pic:cNvPicPr>
                  </pic:nvPicPr>
                  <pic:blipFill>
                    <a:blip r:embed="rId13"/>
                    <a:stretch>
                      <a:fillRect/>
                    </a:stretch>
                  </pic:blipFill>
                  <pic:spPr bwMode="auto">
                    <a:xfrm>
                      <a:off x="0" y="0"/>
                      <a:ext cx="3504420" cy="3605648"/>
                    </a:xfrm>
                    <a:prstGeom prst="rect">
                      <a:avLst/>
                    </a:prstGeom>
                    <a:noFill/>
                    <a:ln w="9525">
                      <a:noFill/>
                      <a:headEnd/>
                      <a:tailEnd/>
                    </a:ln>
                  </pic:spPr>
                </pic:pic>
              </a:graphicData>
            </a:graphic>
          </wp:inline>
        </w:drawing>
      </w:r>
    </w:p>
    <w:p w:rsidR="007553A7" w:rsidRDefault="007C57C0">
      <w:pPr>
        <w:pStyle w:val="BodyText"/>
      </w:pPr>
      <w:r>
        <w:rPr>
          <w:b/>
        </w:rPr>
        <w:t>Tail Suspension Test (TST)</w:t>
      </w:r>
    </w:p>
    <w:p w:rsidR="007553A7" w:rsidRDefault="007C57C0">
      <w:pPr>
        <w:pStyle w:val="BodyText"/>
      </w:pPr>
      <w:r>
        <w:rPr>
          <w:noProof/>
        </w:rPr>
        <w:drawing>
          <wp:inline distT="0" distB="0" distL="0" distR="0">
            <wp:extent cx="3166712" cy="329184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ogan_doqtl_files/figure-docx/plot_phenotypes_TST-1.png"/>
                    <pic:cNvPicPr>
                      <a:picLocks noChangeAspect="1" noChangeArrowheads="1"/>
                    </pic:cNvPicPr>
                  </pic:nvPicPr>
                  <pic:blipFill>
                    <a:blip r:embed="rId14"/>
                    <a:stretch>
                      <a:fillRect/>
                    </a:stretch>
                  </pic:blipFill>
                  <pic:spPr bwMode="auto">
                    <a:xfrm>
                      <a:off x="0" y="0"/>
                      <a:ext cx="3170395" cy="3295668"/>
                    </a:xfrm>
                    <a:prstGeom prst="rect">
                      <a:avLst/>
                    </a:prstGeom>
                    <a:noFill/>
                    <a:ln w="9525">
                      <a:noFill/>
                      <a:headEnd/>
                      <a:tailEnd/>
                    </a:ln>
                  </pic:spPr>
                </pic:pic>
              </a:graphicData>
            </a:graphic>
          </wp:inline>
        </w:drawing>
      </w:r>
    </w:p>
    <w:p w:rsidR="007553A7" w:rsidRDefault="007C57C0">
      <w:pPr>
        <w:pStyle w:val="Heading2"/>
      </w:pPr>
      <w:bookmarkStart w:id="5" w:name="qtl-mapping-of-percentage-of-time-spent-"/>
      <w:bookmarkEnd w:id="5"/>
      <w:r>
        <w:lastRenderedPageBreak/>
        <w:t xml:space="preserve">QTL mapping of </w:t>
      </w:r>
      <w:r w:rsidR="00AC2664">
        <w:t>climbing frequency in the tail suspension test</w:t>
      </w:r>
    </w:p>
    <w:p w:rsidR="007553A7" w:rsidRDefault="007C57C0">
      <w:pPr>
        <w:pStyle w:val="Figure"/>
      </w:pPr>
      <w:r>
        <w:rPr>
          <w:noProof/>
        </w:rPr>
        <w:drawing>
          <wp:inline distT="0" distB="0" distL="0" distR="0">
            <wp:extent cx="5334000" cy="753680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s/mapping-workflow.png"/>
                    <pic:cNvPicPr>
                      <a:picLocks noChangeAspect="1" noChangeArrowheads="1"/>
                    </pic:cNvPicPr>
                  </pic:nvPicPr>
                  <pic:blipFill>
                    <a:blip r:embed="rId9"/>
                    <a:stretch>
                      <a:fillRect/>
                    </a:stretch>
                  </pic:blipFill>
                  <pic:spPr bwMode="auto">
                    <a:xfrm>
                      <a:off x="0" y="0"/>
                      <a:ext cx="5334000" cy="7536806"/>
                    </a:xfrm>
                    <a:prstGeom prst="rect">
                      <a:avLst/>
                    </a:prstGeom>
                    <a:noFill/>
                    <a:ln w="9525">
                      <a:noFill/>
                      <a:headEnd/>
                      <a:tailEnd/>
                    </a:ln>
                  </pic:spPr>
                </pic:pic>
              </a:graphicData>
            </a:graphic>
          </wp:inline>
        </w:drawing>
      </w:r>
    </w:p>
    <w:p w:rsidR="007553A7" w:rsidRDefault="007C57C0">
      <w:pPr>
        <w:pStyle w:val="Heading4"/>
      </w:pPr>
      <w:bookmarkStart w:id="6" w:name="genotype-allele-probabilities"/>
      <w:bookmarkEnd w:id="6"/>
      <w:r>
        <w:lastRenderedPageBreak/>
        <w:t>Genotype (allele) probabilities</w:t>
      </w:r>
    </w:p>
    <w:p w:rsidR="007553A7" w:rsidRDefault="007C57C0">
      <w:pPr>
        <w:pStyle w:val="SourceCode"/>
      </w:pPr>
      <w:r>
        <w:rPr>
          <w:rStyle w:val="NormalTok"/>
        </w:rPr>
        <w:t>n_cores &lt;-</w:t>
      </w:r>
      <w:r>
        <w:rPr>
          <w:rStyle w:val="StringTok"/>
        </w:rPr>
        <w:t xml:space="preserve"> </w:t>
      </w:r>
      <w:r>
        <w:rPr>
          <w:rStyle w:val="DecValTok"/>
        </w:rPr>
        <w:t>8</w:t>
      </w:r>
      <w:r>
        <w:br/>
      </w:r>
      <w:r>
        <w:rPr>
          <w:rStyle w:val="NormalTok"/>
        </w:rPr>
        <w:t>probs &lt;-</w:t>
      </w:r>
      <w:r>
        <w:rPr>
          <w:rStyle w:val="StringTok"/>
        </w:rPr>
        <w:t xml:space="preserve"> </w:t>
      </w:r>
      <w:r>
        <w:rPr>
          <w:rStyle w:val="KeywordTok"/>
        </w:rPr>
        <w:t>calc_genoprob</w:t>
      </w:r>
      <w:r>
        <w:rPr>
          <w:rStyle w:val="NormalTok"/>
        </w:rPr>
        <w:t xml:space="preserve">(do.cross, </w:t>
      </w:r>
      <w:r>
        <w:rPr>
          <w:rStyle w:val="DataTypeTok"/>
        </w:rPr>
        <w:t>error_prob=</w:t>
      </w:r>
      <w:r>
        <w:rPr>
          <w:rStyle w:val="FloatTok"/>
        </w:rPr>
        <w:t>0.002</w:t>
      </w:r>
      <w:r>
        <w:rPr>
          <w:rStyle w:val="NormalTok"/>
        </w:rPr>
        <w:t xml:space="preserve">, </w:t>
      </w:r>
      <w:r>
        <w:rPr>
          <w:rStyle w:val="DataTypeTok"/>
        </w:rPr>
        <w:t>map_function=</w:t>
      </w:r>
      <w:r>
        <w:rPr>
          <w:rStyle w:val="StringTok"/>
        </w:rPr>
        <w:t>"c-f"</w:t>
      </w:r>
      <w:r>
        <w:rPr>
          <w:rStyle w:val="NormalTok"/>
        </w:rPr>
        <w:t xml:space="preserve">, </w:t>
      </w:r>
      <w:r>
        <w:rPr>
          <w:rStyle w:val="DataTypeTok"/>
        </w:rPr>
        <w:t>cores=</w:t>
      </w:r>
      <w:r>
        <w:rPr>
          <w:rStyle w:val="NormalTok"/>
        </w:rPr>
        <w:t>n_cores)</w:t>
      </w:r>
    </w:p>
    <w:p w:rsidR="007553A7" w:rsidRDefault="007C57C0">
      <w:pPr>
        <w:pStyle w:val="FirstParagraph"/>
      </w:pPr>
      <w:r>
        <w:t>We now convert the genotype probabilities to haplotype dosages.</w:t>
      </w:r>
    </w:p>
    <w:p w:rsidR="007553A7" w:rsidRDefault="007C57C0">
      <w:pPr>
        <w:pStyle w:val="SourceCode"/>
      </w:pPr>
      <w:r>
        <w:rPr>
          <w:rStyle w:val="NormalTok"/>
        </w:rPr>
        <w:t>aprobs &lt;-</w:t>
      </w:r>
      <w:r>
        <w:rPr>
          <w:rStyle w:val="StringTok"/>
        </w:rPr>
        <w:t xml:space="preserve"> </w:t>
      </w:r>
      <w:r>
        <w:rPr>
          <w:rStyle w:val="KeywordTok"/>
        </w:rPr>
        <w:t>genoprob_to_alleleprob</w:t>
      </w:r>
      <w:r>
        <w:rPr>
          <w:rStyle w:val="NormalTok"/>
        </w:rPr>
        <w:t xml:space="preserve">(probs, </w:t>
      </w:r>
      <w:r>
        <w:rPr>
          <w:rStyle w:val="DataTypeTok"/>
        </w:rPr>
        <w:t>cores=</w:t>
      </w:r>
      <w:r>
        <w:rPr>
          <w:rStyle w:val="NormalTok"/>
        </w:rPr>
        <w:t>n_cores)</w:t>
      </w:r>
    </w:p>
    <w:p w:rsidR="00A67C12" w:rsidRDefault="007C57C0">
      <w:pPr>
        <w:pStyle w:val="FirstParagraph"/>
      </w:pPr>
      <w:r>
        <w:t xml:space="preserve">A closer look at the </w:t>
      </w:r>
      <w:r>
        <w:rPr>
          <w:b/>
        </w:rPr>
        <w:t>eight</w:t>
      </w:r>
      <w:r>
        <w:t xml:space="preserve"> haplotypes for just the Chr 1 markers and coup</w:t>
      </w:r>
      <w:r>
        <w:t xml:space="preserve">le of the DO mice. </w:t>
      </w:r>
    </w:p>
    <w:p w:rsidR="00A67C12" w:rsidRDefault="00A67C12" w:rsidP="00A67C12">
      <w:pPr>
        <w:pStyle w:val="Heading4"/>
      </w:pPr>
      <w:r>
        <w:t>Sample 1</w:t>
      </w:r>
      <w:r>
        <w:t xml:space="preserve"> - </w:t>
      </w:r>
      <w:proofErr w:type="spellStart"/>
      <w:r>
        <w:t>Chr</w:t>
      </w:r>
      <w:proofErr w:type="spellEnd"/>
      <w:r>
        <w:t xml:space="preserve"> 1</w:t>
      </w:r>
    </w:p>
    <w:p w:rsidR="007553A7" w:rsidRDefault="007C57C0">
      <w:pPr>
        <w:pStyle w:val="FirstParagraph"/>
      </w:pPr>
      <w:r>
        <w:rPr>
          <w:noProof/>
        </w:rPr>
        <w:drawing>
          <wp:inline distT="0" distB="0" distL="0" distR="0">
            <wp:extent cx="4408371" cy="31375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ogan_doqtl_files/figure-docx/sample1-1.png"/>
                    <pic:cNvPicPr>
                      <a:picLocks noChangeAspect="1" noChangeArrowheads="1"/>
                    </pic:cNvPicPr>
                  </pic:nvPicPr>
                  <pic:blipFill rotWithShape="1">
                    <a:blip r:embed="rId15"/>
                    <a:srcRect l="10467" t="19286" r="6878" b="7181"/>
                    <a:stretch/>
                  </pic:blipFill>
                  <pic:spPr bwMode="auto">
                    <a:xfrm>
                      <a:off x="0" y="0"/>
                      <a:ext cx="4408815" cy="3137836"/>
                    </a:xfrm>
                    <a:prstGeom prst="rect">
                      <a:avLst/>
                    </a:prstGeom>
                    <a:noFill/>
                    <a:ln>
                      <a:noFill/>
                    </a:ln>
                    <a:extLst>
                      <a:ext uri="{53640926-AAD7-44D8-BBD7-CCE9431645EC}">
                        <a14:shadowObscured xmlns:a14="http://schemas.microsoft.com/office/drawing/2010/main"/>
                      </a:ext>
                    </a:extLst>
                  </pic:spPr>
                </pic:pic>
              </a:graphicData>
            </a:graphic>
          </wp:inline>
        </w:drawing>
      </w:r>
    </w:p>
    <w:p w:rsidR="007553A7" w:rsidRDefault="007C57C0">
      <w:pPr>
        <w:pStyle w:val="Heading4"/>
      </w:pPr>
      <w:bookmarkStart w:id="7" w:name="sample-10---chr-1"/>
      <w:bookmarkEnd w:id="7"/>
      <w:r>
        <w:lastRenderedPageBreak/>
        <w:t>S</w:t>
      </w:r>
      <w:r>
        <w:t>ample 10 - Chr 1</w:t>
      </w:r>
    </w:p>
    <w:p w:rsidR="007553A7" w:rsidRDefault="007C57C0">
      <w:pPr>
        <w:pStyle w:val="FirstParagraph"/>
      </w:pPr>
      <w:r>
        <w:rPr>
          <w:noProof/>
        </w:rPr>
        <w:drawing>
          <wp:inline distT="0" distB="0" distL="0" distR="0">
            <wp:extent cx="4345063" cy="3171524"/>
            <wp:effectExtent l="0" t="0" r="0" b="3810"/>
            <wp:docPr id="8" name="Picture"/>
            <wp:cNvGraphicFramePr/>
            <a:graphic xmlns:a="http://schemas.openxmlformats.org/drawingml/2006/main">
              <a:graphicData uri="http://schemas.openxmlformats.org/drawingml/2006/picture">
                <pic:pic xmlns:pic="http://schemas.openxmlformats.org/drawingml/2006/picture">
                  <pic:nvPicPr>
                    <pic:cNvPr id="0" name="Picture" descr="logan_doqtl_files/figure-docx/sample10-1.png"/>
                    <pic:cNvPicPr>
                      <a:picLocks noChangeAspect="1" noChangeArrowheads="1"/>
                    </pic:cNvPicPr>
                  </pic:nvPicPr>
                  <pic:blipFill rotWithShape="1">
                    <a:blip r:embed="rId15"/>
                    <a:srcRect l="11369" t="18383" r="7147" b="7271"/>
                    <a:stretch/>
                  </pic:blipFill>
                  <pic:spPr bwMode="auto">
                    <a:xfrm>
                      <a:off x="0" y="0"/>
                      <a:ext cx="4346356" cy="3172468"/>
                    </a:xfrm>
                    <a:prstGeom prst="rect">
                      <a:avLst/>
                    </a:prstGeom>
                    <a:noFill/>
                    <a:ln>
                      <a:noFill/>
                    </a:ln>
                    <a:extLst>
                      <a:ext uri="{53640926-AAD7-44D8-BBD7-CCE9431645EC}">
                        <a14:shadowObscured xmlns:a14="http://schemas.microsoft.com/office/drawing/2010/main"/>
                      </a:ext>
                    </a:extLst>
                  </pic:spPr>
                </pic:pic>
              </a:graphicData>
            </a:graphic>
          </wp:inline>
        </w:drawing>
      </w:r>
    </w:p>
    <w:p w:rsidR="007553A7" w:rsidRDefault="007C57C0">
      <w:pPr>
        <w:pStyle w:val="Heading4"/>
      </w:pPr>
      <w:bookmarkStart w:id="8" w:name="calculate-a-kinship-matrix"/>
      <w:bookmarkEnd w:id="8"/>
      <w:r>
        <w:t>Calculate a kinship matrix</w:t>
      </w:r>
    </w:p>
    <w:p w:rsidR="007553A7" w:rsidRDefault="007C57C0">
      <w:pPr>
        <w:pStyle w:val="SourceCode"/>
      </w:pPr>
      <w:r>
        <w:rPr>
          <w:rStyle w:val="NormalTok"/>
        </w:rPr>
        <w:t>kinship &lt;-</w:t>
      </w:r>
      <w:r>
        <w:rPr>
          <w:rStyle w:val="StringTok"/>
        </w:rPr>
        <w:t xml:space="preserve"> </w:t>
      </w:r>
      <w:r>
        <w:rPr>
          <w:rStyle w:val="KeywordTok"/>
        </w:rPr>
        <w:t>calc_</w:t>
      </w:r>
      <w:proofErr w:type="gramStart"/>
      <w:r>
        <w:rPr>
          <w:rStyle w:val="KeywordTok"/>
        </w:rPr>
        <w:t>kinship</w:t>
      </w:r>
      <w:r>
        <w:rPr>
          <w:rStyle w:val="NormalTok"/>
        </w:rPr>
        <w:t>(</w:t>
      </w:r>
      <w:proofErr w:type="gramEnd"/>
      <w:r>
        <w:rPr>
          <w:rStyle w:val="NormalTok"/>
        </w:rPr>
        <w:t xml:space="preserve">aprobs, </w:t>
      </w:r>
      <w:r>
        <w:rPr>
          <w:rStyle w:val="StringTok"/>
        </w:rPr>
        <w:t>"loco"</w:t>
      </w:r>
      <w:r>
        <w:rPr>
          <w:rStyle w:val="NormalTok"/>
        </w:rPr>
        <w:t xml:space="preserve">, </w:t>
      </w:r>
      <w:r>
        <w:rPr>
          <w:rStyle w:val="DataTypeTok"/>
        </w:rPr>
        <w:t>cores=</w:t>
      </w:r>
      <w:r>
        <w:rPr>
          <w:rStyle w:val="NormalTok"/>
        </w:rPr>
        <w:t>n_cores)</w:t>
      </w:r>
      <w:r>
        <w:br/>
      </w:r>
      <w:r>
        <w:br/>
      </w:r>
      <w:r>
        <w:rPr>
          <w:rStyle w:val="KeywordTok"/>
        </w:rPr>
        <w:t>image</w:t>
      </w:r>
      <w:r>
        <w:rPr>
          <w:rStyle w:val="NormalTok"/>
        </w:rPr>
        <w:t>(</w:t>
      </w:r>
      <w:r>
        <w:rPr>
          <w:rStyle w:val="DecValTok"/>
        </w:rPr>
        <w:t>1</w:t>
      </w:r>
      <w:r>
        <w:rPr>
          <w:rStyle w:val="OperatorTok"/>
        </w:rPr>
        <w:t>:</w:t>
      </w:r>
      <w:r>
        <w:rPr>
          <w:rStyle w:val="KeywordTok"/>
        </w:rPr>
        <w:t>nrow</w:t>
      </w:r>
      <w:r>
        <w:rPr>
          <w:rStyle w:val="NormalTok"/>
        </w:rPr>
        <w:t>(kinship[[</w:t>
      </w:r>
      <w:r>
        <w:rPr>
          <w:rStyle w:val="DecValTok"/>
        </w:rPr>
        <w:t>1</w:t>
      </w:r>
      <w:r>
        <w:rPr>
          <w:rStyle w:val="NormalTok"/>
        </w:rPr>
        <w:t xml:space="preserve">]]), </w:t>
      </w:r>
      <w:r>
        <w:rPr>
          <w:rStyle w:val="DecValTok"/>
        </w:rPr>
        <w:t>1</w:t>
      </w:r>
      <w:r>
        <w:rPr>
          <w:rStyle w:val="OperatorTok"/>
        </w:rPr>
        <w:t>:</w:t>
      </w:r>
      <w:r>
        <w:rPr>
          <w:rStyle w:val="KeywordTok"/>
        </w:rPr>
        <w:t>ncol</w:t>
      </w:r>
      <w:r>
        <w:rPr>
          <w:rStyle w:val="NormalTok"/>
        </w:rPr>
        <w:t>(kinship[[</w:t>
      </w:r>
      <w:r>
        <w:rPr>
          <w:rStyle w:val="DecValTok"/>
        </w:rPr>
        <w:t>1</w:t>
      </w:r>
      <w:r>
        <w:rPr>
          <w:rStyle w:val="NormalTok"/>
        </w:rPr>
        <w:t>]]), kinship[[</w:t>
      </w:r>
      <w:r>
        <w:rPr>
          <w:rStyle w:val="DecValTok"/>
        </w:rPr>
        <w:t>1</w:t>
      </w:r>
      <w:r>
        <w:rPr>
          <w:rStyle w:val="NormalTok"/>
        </w:rPr>
        <w:t>]][,</w:t>
      </w:r>
      <w:r>
        <w:rPr>
          <w:rStyle w:val="KeywordTok"/>
        </w:rPr>
        <w:t>ncol</w:t>
      </w:r>
      <w:r>
        <w:rPr>
          <w:rStyle w:val="NormalTok"/>
        </w:rPr>
        <w:t>(kinship[[</w:t>
      </w:r>
      <w:r>
        <w:rPr>
          <w:rStyle w:val="DecValTok"/>
        </w:rPr>
        <w:t>1</w:t>
      </w:r>
      <w:r>
        <w:rPr>
          <w:rStyle w:val="NormalTok"/>
        </w:rPr>
        <w:t>]])</w:t>
      </w:r>
      <w:r>
        <w:rPr>
          <w:rStyle w:val="OperatorTok"/>
        </w:rPr>
        <w:t>:</w:t>
      </w:r>
      <w:r>
        <w:rPr>
          <w:rStyle w:val="DecValTok"/>
        </w:rPr>
        <w:t>1</w:t>
      </w:r>
      <w:r>
        <w:rPr>
          <w:rStyle w:val="NormalTok"/>
        </w:rPr>
        <w:t xml:space="preserve">], </w:t>
      </w:r>
      <w:r>
        <w:rPr>
          <w:rStyle w:val="DataTypeTok"/>
        </w:rPr>
        <w:t>xlab =</w:t>
      </w:r>
      <w:r>
        <w:rPr>
          <w:rStyle w:val="NormalTok"/>
        </w:rPr>
        <w:t xml:space="preserve"> </w:t>
      </w:r>
      <w:r>
        <w:rPr>
          <w:rStyle w:val="StringTok"/>
        </w:rPr>
        <w:t>"Samples"</w:t>
      </w:r>
      <w:r>
        <w:rPr>
          <w:rStyle w:val="NormalTok"/>
        </w:rPr>
        <w:t xml:space="preserve">, </w:t>
      </w:r>
      <w:r>
        <w:br/>
      </w:r>
      <w:r>
        <w:rPr>
          <w:rStyle w:val="NormalTok"/>
        </w:rPr>
        <w:t xml:space="preserve">      </w:t>
      </w:r>
      <w:r>
        <w:rPr>
          <w:rStyle w:val="DataTypeTok"/>
        </w:rPr>
        <w:t>ylab =</w:t>
      </w:r>
      <w:r>
        <w:rPr>
          <w:rStyle w:val="NormalTok"/>
        </w:rPr>
        <w:t xml:space="preserve"> </w:t>
      </w:r>
      <w:r>
        <w:rPr>
          <w:rStyle w:val="StringTok"/>
        </w:rPr>
        <w:t>"Samples"</w:t>
      </w:r>
      <w:r>
        <w:rPr>
          <w:rStyle w:val="NormalTok"/>
        </w:rPr>
        <w:t xml:space="preserve">, </w:t>
      </w:r>
      <w:r>
        <w:rPr>
          <w:rStyle w:val="DataTypeTok"/>
        </w:rPr>
        <w:t>yaxt =</w:t>
      </w:r>
      <w:r>
        <w:rPr>
          <w:rStyle w:val="NormalTok"/>
        </w:rPr>
        <w:t xml:space="preserve"> </w:t>
      </w:r>
      <w:r>
        <w:rPr>
          <w:rStyle w:val="StringTok"/>
        </w:rPr>
        <w:t>"n"</w:t>
      </w:r>
      <w:r>
        <w:rPr>
          <w:rStyle w:val="NormalTok"/>
        </w:rPr>
        <w:t xml:space="preserve">, </w:t>
      </w:r>
      <w:r>
        <w:rPr>
          <w:rStyle w:val="DataTypeTok"/>
        </w:rPr>
        <w:t>main =</w:t>
      </w:r>
      <w:r>
        <w:rPr>
          <w:rStyle w:val="NormalTok"/>
        </w:rPr>
        <w:t xml:space="preserve"> </w:t>
      </w:r>
      <w:r>
        <w:rPr>
          <w:rStyle w:val="StringTok"/>
        </w:rPr>
        <w:t>"Kinship between samples"</w:t>
      </w:r>
      <w:r>
        <w:rPr>
          <w:rStyle w:val="NormalTok"/>
        </w:rPr>
        <w:t xml:space="preserve">, </w:t>
      </w:r>
      <w:r>
        <w:br/>
      </w:r>
      <w:r>
        <w:rPr>
          <w:rStyle w:val="NormalTok"/>
        </w:rPr>
        <w:t xml:space="preserve">      </w:t>
      </w:r>
      <w:r>
        <w:rPr>
          <w:rStyle w:val="DataTypeTok"/>
        </w:rPr>
        <w:t>breaks =</w:t>
      </w:r>
      <w:r>
        <w:rPr>
          <w:rStyle w:val="NormalTok"/>
        </w:rPr>
        <w:t xml:space="preserve"> </w:t>
      </w:r>
      <w:r>
        <w:rPr>
          <w:rStyle w:val="DecValTok"/>
        </w:rPr>
        <w:t>0</w:t>
      </w:r>
      <w:r>
        <w:rPr>
          <w:rStyle w:val="OperatorTok"/>
        </w:rPr>
        <w:t>:</w:t>
      </w:r>
      <w:r>
        <w:rPr>
          <w:rStyle w:val="DecValTok"/>
        </w:rPr>
        <w:t>100</w:t>
      </w:r>
      <w:r>
        <w:rPr>
          <w:rStyle w:val="OperatorTok"/>
        </w:rPr>
        <w:t>/</w:t>
      </w:r>
      <w:r>
        <w:rPr>
          <w:rStyle w:val="DecValTok"/>
        </w:rPr>
        <w:t>100</w:t>
      </w:r>
      <w:r>
        <w:rPr>
          <w:rStyle w:val="NormalTok"/>
        </w:rPr>
        <w:t xml:space="preserve">, </w:t>
      </w:r>
      <w:r>
        <w:rPr>
          <w:rStyle w:val="DataTypeTok"/>
        </w:rPr>
        <w:t>col =</w:t>
      </w:r>
      <w:r>
        <w:rPr>
          <w:rStyle w:val="NormalTok"/>
        </w:rPr>
        <w:t xml:space="preserve"> </w:t>
      </w:r>
      <w:r>
        <w:rPr>
          <w:rStyle w:val="KeywordTok"/>
        </w:rPr>
        <w:t>heat.colors</w:t>
      </w:r>
      <w:r>
        <w:rPr>
          <w:rStyle w:val="NormalTok"/>
        </w:rPr>
        <w:t>(</w:t>
      </w:r>
      <w:r>
        <w:rPr>
          <w:rStyle w:val="KeywordTok"/>
        </w:rPr>
        <w:t>length</w:t>
      </w:r>
      <w:r>
        <w:rPr>
          <w:rStyle w:val="NormalTok"/>
        </w:rPr>
        <w:t>(</w:t>
      </w:r>
      <w:r>
        <w:rPr>
          <w:rStyle w:val="DecValTok"/>
        </w:rPr>
        <w:t>0</w:t>
      </w:r>
      <w:r>
        <w:rPr>
          <w:rStyle w:val="OperatorTok"/>
        </w:rPr>
        <w:t>:</w:t>
      </w:r>
      <w:r>
        <w:rPr>
          <w:rStyle w:val="DecValTok"/>
        </w:rPr>
        <w:t>100</w:t>
      </w:r>
      <w:r>
        <w:rPr>
          <w:rStyle w:val="NormalTok"/>
        </w:rPr>
        <w:t xml:space="preserve">) </w:t>
      </w:r>
      <w:r>
        <w:rPr>
          <w:rStyle w:val="OperatorTok"/>
        </w:rPr>
        <w:t>-</w:t>
      </w:r>
      <w:r>
        <w:rPr>
          <w:rStyle w:val="StringTok"/>
        </w:rPr>
        <w:t xml:space="preserve"> </w:t>
      </w:r>
      <w:r>
        <w:rPr>
          <w:rStyle w:val="DecValTok"/>
        </w:rPr>
        <w:t>1</w:t>
      </w:r>
      <w:r>
        <w:rPr>
          <w:rStyle w:val="NormalTok"/>
        </w:rPr>
        <w:t>))</w:t>
      </w:r>
    </w:p>
    <w:p w:rsidR="007553A7" w:rsidRDefault="007C57C0">
      <w:pPr>
        <w:pStyle w:val="FirstParagraph"/>
      </w:pP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logan_doqtl_files/figure-docx/calc_kinship-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7553A7" w:rsidRDefault="007C57C0">
      <w:pPr>
        <w:pStyle w:val="FirstParagraph"/>
      </w:pPr>
      <w:r>
        <w:t>The figure above shows kinship b</w:t>
      </w:r>
      <w:r>
        <w:t xml:space="preserve">etween all pairs of samples. White ( = 1) indicates no kinship and red ( = 0) indicates full kinship. Orange values indicate varying levels of kinship between 0 and 1. The white diagonal of the matrix indicates that each sample is identical to itself. The </w:t>
      </w:r>
      <w:r>
        <w:t>lighter yellow blocks off of the diagonal may indicate siblings or cousins.</w:t>
      </w:r>
    </w:p>
    <w:p w:rsidR="007553A7" w:rsidRDefault="007C57C0">
      <w:pPr>
        <w:pStyle w:val="Heading4"/>
      </w:pPr>
      <w:bookmarkStart w:id="9" w:name="covariates"/>
      <w:bookmarkEnd w:id="9"/>
      <w:r>
        <w:lastRenderedPageBreak/>
        <w:t>Covariates</w:t>
      </w:r>
    </w:p>
    <w:p w:rsidR="007553A7" w:rsidRDefault="007C57C0">
      <w:pPr>
        <w:pStyle w:val="FirstParagraph"/>
      </w:pPr>
      <w:r>
        <w:rPr>
          <w:noProof/>
        </w:rPr>
        <w:drawing>
          <wp:inline distT="0" distB="0" distL="0" distR="0">
            <wp:extent cx="3236976" cy="2589581"/>
            <wp:effectExtent l="0" t="0" r="1905" b="127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ogan_doqtl_files/figure-docx/explore_covar-1.png"/>
                    <pic:cNvPicPr>
                      <a:picLocks noChangeAspect="1" noChangeArrowheads="1"/>
                    </pic:cNvPicPr>
                  </pic:nvPicPr>
                  <pic:blipFill>
                    <a:blip r:embed="rId17"/>
                    <a:stretch>
                      <a:fillRect/>
                    </a:stretch>
                  </pic:blipFill>
                  <pic:spPr bwMode="auto">
                    <a:xfrm>
                      <a:off x="0" y="0"/>
                      <a:ext cx="3236976" cy="2589581"/>
                    </a:xfrm>
                    <a:prstGeom prst="rect">
                      <a:avLst/>
                    </a:prstGeom>
                    <a:noFill/>
                    <a:ln w="9525">
                      <a:noFill/>
                      <a:headEnd/>
                      <a:tailEnd/>
                    </a:ln>
                  </pic:spPr>
                </pic:pic>
              </a:graphicData>
            </a:graphic>
          </wp:inline>
        </w:drawing>
      </w:r>
      <w:r>
        <w:rPr>
          <w:noProof/>
        </w:rPr>
        <w:drawing>
          <wp:inline distT="0" distB="0" distL="0" distR="0">
            <wp:extent cx="3234088" cy="2587270"/>
            <wp:effectExtent l="0" t="0" r="4445" b="381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ogan_doqtl_files/figure-docx/explore_covar-2.png"/>
                    <pic:cNvPicPr>
                      <a:picLocks noChangeAspect="1" noChangeArrowheads="1"/>
                    </pic:cNvPicPr>
                  </pic:nvPicPr>
                  <pic:blipFill>
                    <a:blip r:embed="rId18"/>
                    <a:stretch>
                      <a:fillRect/>
                    </a:stretch>
                  </pic:blipFill>
                  <pic:spPr bwMode="auto">
                    <a:xfrm>
                      <a:off x="0" y="0"/>
                      <a:ext cx="3249206" cy="2599364"/>
                    </a:xfrm>
                    <a:prstGeom prst="rect">
                      <a:avLst/>
                    </a:prstGeom>
                    <a:noFill/>
                    <a:ln w="9525">
                      <a:noFill/>
                      <a:headEnd/>
                      <a:tailEnd/>
                    </a:ln>
                  </pic:spPr>
                </pic:pic>
              </a:graphicData>
            </a:graphic>
          </wp:inline>
        </w:drawing>
      </w:r>
      <w:r>
        <w:rPr>
          <w:noProof/>
        </w:rPr>
        <w:drawing>
          <wp:inline distT="0" distB="0" distL="0" distR="0">
            <wp:extent cx="3236976" cy="2589581"/>
            <wp:effectExtent l="0" t="0" r="1905" b="127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ogan_doqtl_files/figure-docx/explore_covar-3.png"/>
                    <pic:cNvPicPr>
                      <a:picLocks noChangeAspect="1" noChangeArrowheads="1"/>
                    </pic:cNvPicPr>
                  </pic:nvPicPr>
                  <pic:blipFill>
                    <a:blip r:embed="rId19"/>
                    <a:stretch>
                      <a:fillRect/>
                    </a:stretch>
                  </pic:blipFill>
                  <pic:spPr bwMode="auto">
                    <a:xfrm>
                      <a:off x="0" y="0"/>
                      <a:ext cx="3236976" cy="2589581"/>
                    </a:xfrm>
                    <a:prstGeom prst="rect">
                      <a:avLst/>
                    </a:prstGeom>
                    <a:noFill/>
                    <a:ln w="9525">
                      <a:noFill/>
                      <a:headEnd/>
                      <a:tailEnd/>
                    </a:ln>
                  </pic:spPr>
                </pic:pic>
              </a:graphicData>
            </a:graphic>
          </wp:inline>
        </w:drawing>
      </w:r>
      <w:r>
        <w:rPr>
          <w:noProof/>
        </w:rPr>
        <w:lastRenderedPageBreak/>
        <w:drawing>
          <wp:inline distT="0" distB="0" distL="0" distR="0">
            <wp:extent cx="3236976" cy="2589581"/>
            <wp:effectExtent l="0" t="0" r="1905" b="127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ogan_doqtl_files/figure-docx/explore_covar-4.png"/>
                    <pic:cNvPicPr>
                      <a:picLocks noChangeAspect="1" noChangeArrowheads="1"/>
                    </pic:cNvPicPr>
                  </pic:nvPicPr>
                  <pic:blipFill>
                    <a:blip r:embed="rId20"/>
                    <a:stretch>
                      <a:fillRect/>
                    </a:stretch>
                  </pic:blipFill>
                  <pic:spPr bwMode="auto">
                    <a:xfrm>
                      <a:off x="0" y="0"/>
                      <a:ext cx="3236976" cy="2589581"/>
                    </a:xfrm>
                    <a:prstGeom prst="rect">
                      <a:avLst/>
                    </a:prstGeom>
                    <a:noFill/>
                    <a:ln w="9525">
                      <a:noFill/>
                      <a:headEnd/>
                      <a:tailEnd/>
                    </a:ln>
                  </pic:spPr>
                </pic:pic>
              </a:graphicData>
            </a:graphic>
          </wp:inline>
        </w:drawing>
      </w:r>
      <w:r>
        <w:rPr>
          <w:noProof/>
        </w:rPr>
        <w:drawing>
          <wp:inline distT="0" distB="0" distL="0" distR="0">
            <wp:extent cx="3236976" cy="2589581"/>
            <wp:effectExtent l="0" t="0" r="1905" b="127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ogan_doqtl_files/figure-docx/explore_covar-5.png"/>
                    <pic:cNvPicPr>
                      <a:picLocks noChangeAspect="1" noChangeArrowheads="1"/>
                    </pic:cNvPicPr>
                  </pic:nvPicPr>
                  <pic:blipFill>
                    <a:blip r:embed="rId21"/>
                    <a:stretch>
                      <a:fillRect/>
                    </a:stretch>
                  </pic:blipFill>
                  <pic:spPr bwMode="auto">
                    <a:xfrm>
                      <a:off x="0" y="0"/>
                      <a:ext cx="3236976" cy="2589581"/>
                    </a:xfrm>
                    <a:prstGeom prst="rect">
                      <a:avLst/>
                    </a:prstGeom>
                    <a:noFill/>
                    <a:ln w="9525">
                      <a:noFill/>
                      <a:headEnd/>
                      <a:tailEnd/>
                    </a:ln>
                  </pic:spPr>
                </pic:pic>
              </a:graphicData>
            </a:graphic>
          </wp:inline>
        </w:drawing>
      </w:r>
      <w:r>
        <w:rPr>
          <w:noProof/>
        </w:rPr>
        <w:drawing>
          <wp:inline distT="0" distB="0" distL="0" distR="0">
            <wp:extent cx="3236976" cy="2589581"/>
            <wp:effectExtent l="0" t="0" r="1905" b="127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ogan_doqtl_files/figure-docx/explore_covar-6.png"/>
                    <pic:cNvPicPr>
                      <a:picLocks noChangeAspect="1" noChangeArrowheads="1"/>
                    </pic:cNvPicPr>
                  </pic:nvPicPr>
                  <pic:blipFill>
                    <a:blip r:embed="rId22"/>
                    <a:stretch>
                      <a:fillRect/>
                    </a:stretch>
                  </pic:blipFill>
                  <pic:spPr bwMode="auto">
                    <a:xfrm>
                      <a:off x="0" y="0"/>
                      <a:ext cx="3236976" cy="2589581"/>
                    </a:xfrm>
                    <a:prstGeom prst="rect">
                      <a:avLst/>
                    </a:prstGeom>
                    <a:noFill/>
                    <a:ln w="9525">
                      <a:noFill/>
                      <a:headEnd/>
                      <a:tailEnd/>
                    </a:ln>
                  </pic:spPr>
                </pic:pic>
              </a:graphicData>
            </a:graphic>
          </wp:inline>
        </w:drawing>
      </w:r>
    </w:p>
    <w:p w:rsidR="007553A7" w:rsidRDefault="007C57C0">
      <w:pPr>
        <w:pStyle w:val="Heading4"/>
      </w:pPr>
      <w:bookmarkStart w:id="10" w:name="including-covariates-in-the-mapping-mode"/>
      <w:bookmarkEnd w:id="10"/>
      <w:r>
        <w:lastRenderedPageBreak/>
        <w:t>Including covariates in the mapping model</w:t>
      </w:r>
    </w:p>
    <w:p w:rsidR="007553A7" w:rsidRDefault="007C57C0">
      <w:pPr>
        <w:pStyle w:val="SourceCode"/>
      </w:pPr>
      <w:r>
        <w:rPr>
          <w:rStyle w:val="NormalTok"/>
        </w:rPr>
        <w:t>addcovar =</w:t>
      </w:r>
      <w:r>
        <w:rPr>
          <w:rStyle w:val="StringTok"/>
        </w:rPr>
        <w:t xml:space="preserve"> </w:t>
      </w:r>
      <w:r>
        <w:rPr>
          <w:rStyle w:val="KeywordTok"/>
        </w:rPr>
        <w:t>model.matrix</w:t>
      </w:r>
      <w:r>
        <w:rPr>
          <w:rStyle w:val="NormalTok"/>
        </w:rPr>
        <w:t>(</w:t>
      </w:r>
      <w:r>
        <w:rPr>
          <w:rStyle w:val="OperatorTok"/>
        </w:rPr>
        <w:t>~</w:t>
      </w:r>
      <w:r>
        <w:rPr>
          <w:rStyle w:val="NormalTok"/>
        </w:rPr>
        <w:t>ngen</w:t>
      </w:r>
      <w:r>
        <w:rPr>
          <w:rStyle w:val="OperatorTok"/>
        </w:rPr>
        <w:t>+</w:t>
      </w:r>
      <w:r>
        <w:rPr>
          <w:rStyle w:val="NormalTok"/>
        </w:rPr>
        <w:t xml:space="preserve">Group, </w:t>
      </w:r>
      <w:r>
        <w:rPr>
          <w:rStyle w:val="DataTypeTok"/>
        </w:rPr>
        <w:t>data =</w:t>
      </w:r>
      <w:r>
        <w:rPr>
          <w:rStyle w:val="NormalTok"/>
        </w:rPr>
        <w:t xml:space="preserve"> TS.pheno)[,</w:t>
      </w:r>
      <w:r>
        <w:rPr>
          <w:rStyle w:val="OperatorTok"/>
        </w:rPr>
        <w:t>-</w:t>
      </w:r>
      <w:r>
        <w:rPr>
          <w:rStyle w:val="DecValTok"/>
        </w:rPr>
        <w:t>1</w:t>
      </w:r>
      <w:r>
        <w:rPr>
          <w:rStyle w:val="NormalTok"/>
        </w:rPr>
        <w:t>]</w:t>
      </w:r>
    </w:p>
    <w:p w:rsidR="007553A7" w:rsidRDefault="007C57C0">
      <w:pPr>
        <w:pStyle w:val="Heading4"/>
      </w:pPr>
      <w:bookmarkStart w:id="11" w:name="running-a-genomescan"/>
      <w:bookmarkEnd w:id="11"/>
      <w:r>
        <w:t>Running a genomescan</w:t>
      </w:r>
    </w:p>
    <w:p w:rsidR="007553A7" w:rsidRDefault="007C57C0">
      <w:pPr>
        <w:pStyle w:val="FirstParagraph"/>
      </w:pPr>
      <w:r>
        <w:t>Before we run the mapping function, let’</w:t>
      </w:r>
      <w:r>
        <w:t xml:space="preserve">s look at the mapping model. At each marker on the genotyping array, we will fit a model that regresses the phenotype </w:t>
      </w:r>
      <w:r>
        <w:rPr>
          <w:i/>
        </w:rPr>
        <w:t>LD_light_pct</w:t>
      </w:r>
      <w:r>
        <w:t xml:space="preserve"> on covariates and the founder allele probabilities.</w:t>
      </w:r>
    </w:p>
    <w:p w:rsidR="007553A7" w:rsidRDefault="007C57C0">
      <w:pPr>
        <w:pStyle w:val="Figure"/>
      </w:pPr>
      <w:r>
        <w:rPr>
          <w:noProof/>
        </w:rPr>
        <w:drawing>
          <wp:inline distT="0" distB="0" distL="0" distR="0">
            <wp:extent cx="3638550" cy="2476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s/equation1.png"/>
                    <pic:cNvPicPr>
                      <a:picLocks noChangeAspect="1" noChangeArrowheads="1"/>
                    </pic:cNvPicPr>
                  </pic:nvPicPr>
                  <pic:blipFill>
                    <a:blip r:embed="rId23"/>
                    <a:stretch>
                      <a:fillRect/>
                    </a:stretch>
                  </pic:blipFill>
                  <pic:spPr bwMode="auto">
                    <a:xfrm>
                      <a:off x="0" y="0"/>
                      <a:ext cx="3638550" cy="247650"/>
                    </a:xfrm>
                    <a:prstGeom prst="rect">
                      <a:avLst/>
                    </a:prstGeom>
                    <a:noFill/>
                    <a:ln w="9525">
                      <a:noFill/>
                      <a:headEnd/>
                      <a:tailEnd/>
                    </a:ln>
                  </pic:spPr>
                </pic:pic>
              </a:graphicData>
            </a:graphic>
          </wp:inline>
        </w:drawing>
      </w:r>
    </w:p>
    <w:p w:rsidR="007553A7" w:rsidRDefault="007C57C0">
      <w:pPr>
        <w:pStyle w:val="FirstParagraph"/>
      </w:pPr>
      <w:r>
        <w:t>where:</w:t>
      </w:r>
    </w:p>
    <w:p w:rsidR="007553A7" w:rsidRDefault="007C57C0">
      <w:pPr>
        <w:pStyle w:val="Compact"/>
      </w:pPr>
      <w:r>
        <w:t>yi is the phenotype for mouse i,</w:t>
      </w:r>
    </w:p>
    <w:p w:rsidR="007553A7" w:rsidRDefault="007C57C0">
      <w:pPr>
        <w:pStyle w:val="Compact"/>
      </w:pPr>
      <w:r>
        <w:t xml:space="preserve">βs </w:t>
      </w:r>
      <w:r>
        <w:t>is the effect of study cohort,</w:t>
      </w:r>
    </w:p>
    <w:p w:rsidR="007553A7" w:rsidRDefault="007C57C0">
      <w:pPr>
        <w:pStyle w:val="Compact"/>
      </w:pPr>
      <w:r>
        <w:t>si is the study cohort for mouse i,</w:t>
      </w:r>
    </w:p>
    <w:p w:rsidR="007553A7" w:rsidRDefault="007C57C0">
      <w:pPr>
        <w:pStyle w:val="Compact"/>
      </w:pPr>
      <w:r>
        <w:t>βj is the effect of founder allele j,</w:t>
      </w:r>
    </w:p>
    <w:p w:rsidR="007553A7" w:rsidRDefault="007C57C0">
      <w:pPr>
        <w:pStyle w:val="Compact"/>
      </w:pPr>
      <w:r>
        <w:t>gij is the probability that mouse i carries an allele from founder j,</w:t>
      </w:r>
    </w:p>
    <w:p w:rsidR="007553A7" w:rsidRDefault="007C57C0">
      <w:pPr>
        <w:pStyle w:val="Compact"/>
      </w:pPr>
      <w:r>
        <w:t>λi is an adjustment for kinship-induced correlated errors for mouse i,</w:t>
      </w:r>
    </w:p>
    <w:p w:rsidR="007553A7" w:rsidRDefault="007C57C0">
      <w:pPr>
        <w:pStyle w:val="Compact"/>
      </w:pPr>
      <w:r>
        <w:t xml:space="preserve">εi is the </w:t>
      </w:r>
      <w:r>
        <w:t>residual error for mouse i.</w:t>
      </w:r>
    </w:p>
    <w:p w:rsidR="007553A7" w:rsidRDefault="007C57C0">
      <w:pPr>
        <w:pStyle w:val="BodyText"/>
      </w:pPr>
      <w:r>
        <w:t>Note that this model will give us an estimate of the effect of each founder allele at each marker. There are eight founder strains that contributed to the DO, so we will get eight founder allele effects.</w:t>
      </w:r>
    </w:p>
    <w:p w:rsidR="007553A7" w:rsidRDefault="007C57C0">
      <w:pPr>
        <w:pStyle w:val="BodyText"/>
      </w:pPr>
      <w:r>
        <w:t>In order to map LD_light</w:t>
      </w:r>
      <w:r>
        <w:t xml:space="preserve">_pct, you will use the </w:t>
      </w:r>
      <w:hyperlink r:id="rId24">
        <w:r>
          <w:rPr>
            <w:rStyle w:val="Hyperlink"/>
          </w:rPr>
          <w:t>scan1</w:t>
        </w:r>
      </w:hyperlink>
      <w:r>
        <w:t xml:space="preserve"> function. To see the arguments for </w:t>
      </w:r>
      <w:hyperlink r:id="rId25">
        <w:r>
          <w:rPr>
            <w:rStyle w:val="Hyperlink"/>
          </w:rPr>
          <w:t>scan1</w:t>
        </w:r>
      </w:hyperlink>
      <w:r>
        <w:t xml:space="preserve">, you can type </w:t>
      </w:r>
      <w:r>
        <w:rPr>
          <w:rStyle w:val="VerbatimChar"/>
        </w:rPr>
        <w:t>help(scan1)</w:t>
      </w:r>
      <w:r>
        <w:t>. First, le</w:t>
      </w:r>
      <w:r>
        <w:t xml:space="preserve">t’s map the </w:t>
      </w:r>
      <w:r>
        <w:rPr>
          <w:i/>
        </w:rPr>
        <w:t>untransformed</w:t>
      </w:r>
      <w:r>
        <w:t xml:space="preserve"> phenotype.</w:t>
      </w:r>
    </w:p>
    <w:p w:rsidR="007553A7" w:rsidRDefault="007C57C0">
      <w:pPr>
        <w:pStyle w:val="SourceCode"/>
      </w:pPr>
      <w:r>
        <w:rPr>
          <w:rStyle w:val="NormalTok"/>
        </w:rPr>
        <w:t>index =</w:t>
      </w:r>
      <w:r>
        <w:rPr>
          <w:rStyle w:val="StringTok"/>
        </w:rPr>
        <w:t xml:space="preserve"> </w:t>
      </w:r>
      <w:r>
        <w:rPr>
          <w:rStyle w:val="KeywordTok"/>
        </w:rPr>
        <w:t>which</w:t>
      </w:r>
      <w:r>
        <w:rPr>
          <w:rStyle w:val="NormalTok"/>
        </w:rPr>
        <w:t>(</w:t>
      </w:r>
      <w:r>
        <w:rPr>
          <w:rStyle w:val="KeywordTok"/>
        </w:rPr>
        <w:t>colnames</w:t>
      </w:r>
      <w:r>
        <w:rPr>
          <w:rStyle w:val="NormalTok"/>
        </w:rPr>
        <w:t xml:space="preserve">(pheno) </w:t>
      </w:r>
      <w:r>
        <w:rPr>
          <w:rStyle w:val="OperatorTok"/>
        </w:rPr>
        <w:t>==</w:t>
      </w:r>
      <w:r>
        <w:rPr>
          <w:rStyle w:val="StringTok"/>
        </w:rPr>
        <w:t xml:space="preserve"> "TS_frequency_climbing"</w:t>
      </w:r>
      <w:r>
        <w:rPr>
          <w:rStyle w:val="NormalTok"/>
        </w:rPr>
        <w:t>)</w:t>
      </w:r>
      <w:r>
        <w:br/>
      </w:r>
      <w:r>
        <w:rPr>
          <w:rStyle w:val="NormalTok"/>
        </w:rPr>
        <w:t>qtl.climb =</w:t>
      </w:r>
      <w:r>
        <w:rPr>
          <w:rStyle w:val="StringTok"/>
        </w:rPr>
        <w:t xml:space="preserve"> </w:t>
      </w:r>
      <w:r>
        <w:rPr>
          <w:rStyle w:val="KeywordTok"/>
        </w:rPr>
        <w:t>scan1</w:t>
      </w:r>
      <w:r>
        <w:rPr>
          <w:rStyle w:val="NormalTok"/>
        </w:rPr>
        <w:t>(</w:t>
      </w:r>
      <w:r>
        <w:rPr>
          <w:rStyle w:val="DataTypeTok"/>
        </w:rPr>
        <w:t>genoprobs =</w:t>
      </w:r>
      <w:r>
        <w:rPr>
          <w:rStyle w:val="NormalTok"/>
        </w:rPr>
        <w:t xml:space="preserve"> aprobs, </w:t>
      </w:r>
      <w:r>
        <w:rPr>
          <w:rStyle w:val="DataTypeTok"/>
        </w:rPr>
        <w:t>pheno =</w:t>
      </w:r>
      <w:r>
        <w:rPr>
          <w:rStyle w:val="NormalTok"/>
        </w:rPr>
        <w:t xml:space="preserve"> pheno[,index, </w:t>
      </w:r>
      <w:r>
        <w:rPr>
          <w:rStyle w:val="DataTypeTok"/>
        </w:rPr>
        <w:t>drop =</w:t>
      </w:r>
      <w:r>
        <w:rPr>
          <w:rStyle w:val="NormalTok"/>
        </w:rPr>
        <w:t xml:space="preserve"> </w:t>
      </w:r>
      <w:r>
        <w:rPr>
          <w:rStyle w:val="OtherTok"/>
        </w:rPr>
        <w:t>FALSE</w:t>
      </w:r>
      <w:r>
        <w:rPr>
          <w:rStyle w:val="NormalTok"/>
        </w:rPr>
        <w:t xml:space="preserve">], </w:t>
      </w:r>
      <w:r>
        <w:rPr>
          <w:rStyle w:val="DataTypeTok"/>
        </w:rPr>
        <w:t>kinship =</w:t>
      </w:r>
      <w:r>
        <w:rPr>
          <w:rStyle w:val="NormalTok"/>
        </w:rPr>
        <w:t xml:space="preserve"> kinship, </w:t>
      </w:r>
      <w:r>
        <w:rPr>
          <w:rStyle w:val="DataTypeTok"/>
        </w:rPr>
        <w:t>addcovar =</w:t>
      </w:r>
      <w:r>
        <w:rPr>
          <w:rStyle w:val="NormalTok"/>
        </w:rPr>
        <w:t xml:space="preserve"> addcovar)</w:t>
      </w:r>
    </w:p>
    <w:p w:rsidR="007553A7" w:rsidRDefault="007C57C0">
      <w:pPr>
        <w:pStyle w:val="FirstParagraph"/>
      </w:pPr>
      <w:r>
        <w:t>Plot of the results, all in gray except for th</w:t>
      </w:r>
      <w:r>
        <w:t>e trait with the largest LOD score, in blue.</w:t>
      </w:r>
    </w:p>
    <w:p w:rsidR="007553A7" w:rsidRDefault="007C57C0">
      <w:pPr>
        <w:pStyle w:val="SourceCode"/>
      </w:pPr>
      <w:r>
        <w:rPr>
          <w:rStyle w:val="KeywordTok"/>
        </w:rPr>
        <w:t>plot_scan1</w:t>
      </w:r>
      <w:r>
        <w:rPr>
          <w:rStyle w:val="NormalTok"/>
        </w:rPr>
        <w:t>(</w:t>
      </w:r>
      <w:r>
        <w:rPr>
          <w:rStyle w:val="DataTypeTok"/>
        </w:rPr>
        <w:t>x =</w:t>
      </w:r>
      <w:r>
        <w:rPr>
          <w:rStyle w:val="NormalTok"/>
        </w:rPr>
        <w:t xml:space="preserve"> qtl.climb, </w:t>
      </w:r>
      <w:r>
        <w:rPr>
          <w:rStyle w:val="DataTypeTok"/>
        </w:rPr>
        <w:t>map =</w:t>
      </w:r>
      <w:r>
        <w:rPr>
          <w:rStyle w:val="NormalTok"/>
        </w:rPr>
        <w:t xml:space="preserve"> do.cross</w:t>
      </w:r>
      <w:r>
        <w:rPr>
          <w:rStyle w:val="OperatorTok"/>
        </w:rPr>
        <w:t>$</w:t>
      </w:r>
      <w:r>
        <w:rPr>
          <w:rStyle w:val="NormalTok"/>
        </w:rPr>
        <w:t xml:space="preserve">pmap, </w:t>
      </w:r>
      <w:r>
        <w:rPr>
          <w:rStyle w:val="DataTypeTok"/>
        </w:rPr>
        <w:t>main =</w:t>
      </w:r>
      <w:r>
        <w:rPr>
          <w:rStyle w:val="NormalTok"/>
        </w:rPr>
        <w:t xml:space="preserve"> </w:t>
      </w:r>
      <w:r>
        <w:rPr>
          <w:rStyle w:val="StringTok"/>
        </w:rPr>
        <w:t>"Climbing frequency"</w:t>
      </w:r>
      <w:r>
        <w:rPr>
          <w:rStyle w:val="NormalTok"/>
        </w:rPr>
        <w:t>)</w:t>
      </w:r>
    </w:p>
    <w:p w:rsidR="007553A7" w:rsidRDefault="007C57C0">
      <w:pPr>
        <w:pStyle w:val="FirstParagraph"/>
      </w:pP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logan_doqtl_files/figure-docx/plot_scan1_TS_frequency_climbing-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7553A7" w:rsidRDefault="007C57C0">
      <w:pPr>
        <w:pStyle w:val="Heading4"/>
      </w:pPr>
      <w:bookmarkStart w:id="12" w:name="performing-a-permutation-test"/>
      <w:bookmarkEnd w:id="12"/>
      <w:r>
        <w:t>Performing a permutation test</w:t>
      </w:r>
    </w:p>
    <w:p w:rsidR="007553A7" w:rsidRDefault="007C57C0">
      <w:pPr>
        <w:pStyle w:val="FirstParagraph"/>
      </w:pPr>
      <w:r>
        <w:t xml:space="preserve">There is resonably large peak on Chr 6, with two additional peaks on Chr 14 and chr 16. Next, we must assess its statistical significance. This is most commonly done via </w:t>
      </w:r>
      <w:hyperlink r:id="rId27">
        <w:r>
          <w:rPr>
            <w:rStyle w:val="Hyperlink"/>
          </w:rPr>
          <w:t>permutation</w:t>
        </w:r>
      </w:hyperlink>
      <w:r>
        <w:t>. We advi</w:t>
      </w:r>
      <w:r>
        <w:t>se running at least 1,000 permutations to obtain significance thresholds. In the interest of time, we perform 500 permutations here.</w:t>
      </w:r>
    </w:p>
    <w:p w:rsidR="007553A7" w:rsidRDefault="007C57C0">
      <w:pPr>
        <w:pStyle w:val="SourceCode"/>
      </w:pPr>
      <w:r>
        <w:rPr>
          <w:rStyle w:val="NormalTok"/>
        </w:rPr>
        <w:t>perms =</w:t>
      </w:r>
      <w:r>
        <w:rPr>
          <w:rStyle w:val="StringTok"/>
        </w:rPr>
        <w:t xml:space="preserve"> </w:t>
      </w:r>
      <w:r>
        <w:rPr>
          <w:rStyle w:val="KeywordTok"/>
        </w:rPr>
        <w:t>scan1perm</w:t>
      </w:r>
      <w:r>
        <w:rPr>
          <w:rStyle w:val="NormalTok"/>
        </w:rPr>
        <w:t>(</w:t>
      </w:r>
      <w:r>
        <w:rPr>
          <w:rStyle w:val="DataTypeTok"/>
        </w:rPr>
        <w:t>genoprobs =</w:t>
      </w:r>
      <w:r>
        <w:rPr>
          <w:rStyle w:val="NormalTok"/>
        </w:rPr>
        <w:t xml:space="preserve"> aprobs, </w:t>
      </w:r>
      <w:r>
        <w:rPr>
          <w:rStyle w:val="DataTypeTok"/>
        </w:rPr>
        <w:t>pheno =</w:t>
      </w:r>
      <w:r>
        <w:rPr>
          <w:rStyle w:val="NormalTok"/>
        </w:rPr>
        <w:t xml:space="preserve"> pheno[,index, </w:t>
      </w:r>
      <w:r>
        <w:rPr>
          <w:rStyle w:val="DataTypeTok"/>
        </w:rPr>
        <w:t>drop =</w:t>
      </w:r>
      <w:r>
        <w:rPr>
          <w:rStyle w:val="NormalTok"/>
        </w:rPr>
        <w:t xml:space="preserve"> </w:t>
      </w:r>
      <w:r>
        <w:rPr>
          <w:rStyle w:val="OtherTok"/>
        </w:rPr>
        <w:t>FALSE</w:t>
      </w:r>
      <w:r>
        <w:rPr>
          <w:rStyle w:val="NormalTok"/>
        </w:rPr>
        <w:t xml:space="preserve">], </w:t>
      </w:r>
      <w:r>
        <w:rPr>
          <w:rStyle w:val="DataTypeTok"/>
        </w:rPr>
        <w:t>addcovar =</w:t>
      </w:r>
      <w:r>
        <w:rPr>
          <w:rStyle w:val="NormalTok"/>
        </w:rPr>
        <w:t xml:space="preserve"> addcovar, </w:t>
      </w:r>
      <w:r>
        <w:rPr>
          <w:rStyle w:val="DataTypeTok"/>
        </w:rPr>
        <w:t>n_perm =</w:t>
      </w:r>
      <w:r>
        <w:rPr>
          <w:rStyle w:val="NormalTok"/>
        </w:rPr>
        <w:t xml:space="preserve"> </w:t>
      </w:r>
      <w:r>
        <w:rPr>
          <w:rStyle w:val="DecValTok"/>
        </w:rPr>
        <w:t>100</w:t>
      </w:r>
      <w:r>
        <w:rPr>
          <w:rStyle w:val="NormalTok"/>
        </w:rPr>
        <w:t>)</w:t>
      </w:r>
    </w:p>
    <w:p w:rsidR="007553A7" w:rsidRDefault="007C57C0">
      <w:pPr>
        <w:pStyle w:val="FirstParagraph"/>
      </w:pPr>
      <w:r>
        <w:t xml:space="preserve">The </w:t>
      </w:r>
      <w:r>
        <w:rPr>
          <w:rStyle w:val="VerbatimChar"/>
        </w:rPr>
        <w:t>perms</w:t>
      </w:r>
      <w:r>
        <w:t xml:space="preserve"> obj</w:t>
      </w:r>
      <w:r>
        <w:t>ect contains the maximum LOD score from each genome scan of permuted data.</w:t>
      </w:r>
    </w:p>
    <w:p w:rsidR="007553A7" w:rsidRDefault="007C57C0">
      <w:pPr>
        <w:pStyle w:val="BodyText"/>
      </w:pPr>
      <w:r>
        <w:t>We can now add thresholds to the previous QTL plot. We use a significance threshold of p &lt; 0.05. To do this, we select the 95th percentile of the permutation LOD distribution.</w:t>
      </w:r>
    </w:p>
    <w:p w:rsidR="007553A7" w:rsidRDefault="007C57C0">
      <w:pPr>
        <w:pStyle w:val="SourceCode"/>
      </w:pPr>
      <w:r>
        <w:rPr>
          <w:rStyle w:val="KeywordTok"/>
        </w:rPr>
        <w:t>plot</w:t>
      </w:r>
      <w:r>
        <w:rPr>
          <w:rStyle w:val="NormalTok"/>
        </w:rPr>
        <w:t>(</w:t>
      </w:r>
      <w:r>
        <w:rPr>
          <w:rStyle w:val="DataTypeTok"/>
        </w:rPr>
        <w:t>x =</w:t>
      </w:r>
      <w:r>
        <w:rPr>
          <w:rStyle w:val="NormalTok"/>
        </w:rPr>
        <w:t xml:space="preserve"> qtl.climb, </w:t>
      </w:r>
      <w:r>
        <w:rPr>
          <w:rStyle w:val="DataTypeTok"/>
        </w:rPr>
        <w:t>map =</w:t>
      </w:r>
      <w:r>
        <w:rPr>
          <w:rStyle w:val="NormalTok"/>
        </w:rPr>
        <w:t xml:space="preserve"> do.cross</w:t>
      </w:r>
      <w:r>
        <w:rPr>
          <w:rStyle w:val="OperatorTok"/>
        </w:rPr>
        <w:t>$</w:t>
      </w:r>
      <w:r>
        <w:rPr>
          <w:rStyle w:val="NormalTok"/>
        </w:rPr>
        <w:t xml:space="preserve">pmap,  </w:t>
      </w:r>
      <w:r>
        <w:rPr>
          <w:rStyle w:val="DataTypeTok"/>
        </w:rPr>
        <w:t>main =</w:t>
      </w:r>
      <w:r>
        <w:rPr>
          <w:rStyle w:val="NormalTok"/>
        </w:rPr>
        <w:t xml:space="preserve"> </w:t>
      </w:r>
      <w:r>
        <w:rPr>
          <w:rStyle w:val="StringTok"/>
        </w:rPr>
        <w:t>"Climbing frequency"</w:t>
      </w:r>
      <w:r>
        <w:rPr>
          <w:rStyle w:val="NormalTok"/>
        </w:rPr>
        <w:t>)</w:t>
      </w:r>
      <w:r>
        <w:br/>
      </w:r>
      <w:r>
        <w:rPr>
          <w:rStyle w:val="NormalTok"/>
        </w:rPr>
        <w:t>thr95 =</w:t>
      </w:r>
      <w:r>
        <w:rPr>
          <w:rStyle w:val="StringTok"/>
        </w:rPr>
        <w:t xml:space="preserve"> </w:t>
      </w:r>
      <w:r>
        <w:rPr>
          <w:rStyle w:val="KeywordTok"/>
        </w:rPr>
        <w:t>summary</w:t>
      </w:r>
      <w:r>
        <w:rPr>
          <w:rStyle w:val="NormalTok"/>
        </w:rPr>
        <w:t xml:space="preserve">(perms, </w:t>
      </w:r>
      <w:r>
        <w:rPr>
          <w:rStyle w:val="DataTypeTok"/>
        </w:rPr>
        <w:t>alpha =</w:t>
      </w:r>
      <w:r>
        <w:rPr>
          <w:rStyle w:val="NormalTok"/>
        </w:rPr>
        <w:t xml:space="preserve"> </w:t>
      </w:r>
      <w:r>
        <w:rPr>
          <w:rStyle w:val="FloatTok"/>
        </w:rPr>
        <w:t>0.05</w:t>
      </w:r>
      <w:r>
        <w:rPr>
          <w:rStyle w:val="NormalTok"/>
        </w:rPr>
        <w:t>)</w:t>
      </w:r>
      <w:r>
        <w:br/>
      </w:r>
      <w:r>
        <w:rPr>
          <w:rStyle w:val="NormalTok"/>
        </w:rPr>
        <w:t>thr90 =</w:t>
      </w:r>
      <w:r>
        <w:rPr>
          <w:rStyle w:val="StringTok"/>
        </w:rPr>
        <w:t xml:space="preserve"> </w:t>
      </w:r>
      <w:r>
        <w:rPr>
          <w:rStyle w:val="KeywordTok"/>
        </w:rPr>
        <w:t>summary</w:t>
      </w:r>
      <w:r>
        <w:rPr>
          <w:rStyle w:val="NormalTok"/>
        </w:rPr>
        <w:t xml:space="preserve">(perms, </w:t>
      </w:r>
      <w:r>
        <w:rPr>
          <w:rStyle w:val="DataTypeTok"/>
        </w:rPr>
        <w:t>alpha =</w:t>
      </w:r>
      <w:r>
        <w:rPr>
          <w:rStyle w:val="NormalTok"/>
        </w:rPr>
        <w:t xml:space="preserve"> </w:t>
      </w:r>
      <w:r>
        <w:rPr>
          <w:rStyle w:val="FloatTok"/>
        </w:rPr>
        <w:t>0.10</w:t>
      </w:r>
      <w:r>
        <w:rPr>
          <w:rStyle w:val="NormalTok"/>
        </w:rPr>
        <w:t>)</w:t>
      </w:r>
      <w:r>
        <w:br/>
      </w:r>
      <w:r>
        <w:rPr>
          <w:rStyle w:val="NormalTok"/>
        </w:rPr>
        <w:t>thr63 =</w:t>
      </w:r>
      <w:r>
        <w:rPr>
          <w:rStyle w:val="StringTok"/>
        </w:rPr>
        <w:t xml:space="preserve"> </w:t>
      </w:r>
      <w:r>
        <w:rPr>
          <w:rStyle w:val="KeywordTok"/>
        </w:rPr>
        <w:t>summary</w:t>
      </w:r>
      <w:r>
        <w:rPr>
          <w:rStyle w:val="NormalTok"/>
        </w:rPr>
        <w:t xml:space="preserve">(perms, </w:t>
      </w:r>
      <w:r>
        <w:rPr>
          <w:rStyle w:val="DataTypeTok"/>
        </w:rPr>
        <w:t>alpha =</w:t>
      </w:r>
      <w:r>
        <w:rPr>
          <w:rStyle w:val="NormalTok"/>
        </w:rPr>
        <w:t xml:space="preserve"> </w:t>
      </w:r>
      <w:r>
        <w:rPr>
          <w:rStyle w:val="FloatTok"/>
        </w:rPr>
        <w:t>0.63</w:t>
      </w:r>
      <w:r>
        <w:rPr>
          <w:rStyle w:val="NormalTok"/>
        </w:rPr>
        <w:t>)</w:t>
      </w:r>
      <w:r>
        <w:br/>
      </w:r>
      <w:r>
        <w:rPr>
          <w:rStyle w:val="KeywordTok"/>
        </w:rPr>
        <w:t>abline</w:t>
      </w:r>
      <w:r>
        <w:rPr>
          <w:rStyle w:val="NormalTok"/>
        </w:rPr>
        <w:t>(</w:t>
      </w:r>
      <w:r>
        <w:rPr>
          <w:rStyle w:val="DataTypeTok"/>
        </w:rPr>
        <w:t>h =</w:t>
      </w:r>
      <w:r>
        <w:rPr>
          <w:rStyle w:val="NormalTok"/>
        </w:rPr>
        <w:t xml:space="preserve"> </w:t>
      </w:r>
      <w:r>
        <w:rPr>
          <w:rStyle w:val="KeywordTok"/>
        </w:rPr>
        <w:t>c</w:t>
      </w:r>
      <w:r>
        <w:rPr>
          <w:rStyle w:val="NormalTok"/>
        </w:rPr>
        <w:t xml:space="preserve">(thr95), </w:t>
      </w:r>
      <w:r>
        <w:rPr>
          <w:rStyle w:val="DataTypeTok"/>
        </w:rPr>
        <w:t>col =</w:t>
      </w:r>
      <w:r>
        <w:rPr>
          <w:rStyle w:val="NormalTok"/>
        </w:rPr>
        <w:t xml:space="preserve"> </w:t>
      </w:r>
      <w:r>
        <w:rPr>
          <w:rStyle w:val="StringTok"/>
        </w:rPr>
        <w:t>"red"</w:t>
      </w:r>
      <w:r>
        <w:rPr>
          <w:rStyle w:val="NormalTok"/>
        </w:rPr>
        <w:t xml:space="preserve">, </w:t>
      </w:r>
      <w:r>
        <w:rPr>
          <w:rStyle w:val="DataTypeTok"/>
        </w:rPr>
        <w:t>lwd =</w:t>
      </w:r>
      <w:r>
        <w:rPr>
          <w:rStyle w:val="NormalTok"/>
        </w:rPr>
        <w:t xml:space="preserve"> </w:t>
      </w:r>
      <w:r>
        <w:rPr>
          <w:rStyle w:val="DecValTok"/>
        </w:rPr>
        <w:t>3</w:t>
      </w:r>
      <w:r>
        <w:rPr>
          <w:rStyle w:val="NormalTok"/>
        </w:rPr>
        <w:t>)</w:t>
      </w:r>
      <w:r>
        <w:br/>
      </w:r>
      <w:r>
        <w:rPr>
          <w:rStyle w:val="KeywordTok"/>
        </w:rPr>
        <w:t>abline</w:t>
      </w:r>
      <w:r>
        <w:rPr>
          <w:rStyle w:val="NormalTok"/>
        </w:rPr>
        <w:t>(</w:t>
      </w:r>
      <w:r>
        <w:rPr>
          <w:rStyle w:val="DataTypeTok"/>
        </w:rPr>
        <w:t>h =</w:t>
      </w:r>
      <w:r>
        <w:rPr>
          <w:rStyle w:val="NormalTok"/>
        </w:rPr>
        <w:t xml:space="preserve"> </w:t>
      </w:r>
      <w:r>
        <w:rPr>
          <w:rStyle w:val="KeywordTok"/>
        </w:rPr>
        <w:t>c</w:t>
      </w:r>
      <w:r>
        <w:rPr>
          <w:rStyle w:val="NormalTok"/>
        </w:rPr>
        <w:t xml:space="preserve">(thr90), </w:t>
      </w:r>
      <w:r>
        <w:rPr>
          <w:rStyle w:val="DataTypeTok"/>
        </w:rPr>
        <w:t>col =</w:t>
      </w:r>
      <w:r>
        <w:rPr>
          <w:rStyle w:val="NormalTok"/>
        </w:rPr>
        <w:t xml:space="preserve"> </w:t>
      </w:r>
      <w:r>
        <w:rPr>
          <w:rStyle w:val="StringTok"/>
        </w:rPr>
        <w:t>"green"</w:t>
      </w:r>
      <w:r>
        <w:rPr>
          <w:rStyle w:val="NormalTok"/>
        </w:rPr>
        <w:t xml:space="preserve">, </w:t>
      </w:r>
      <w:r>
        <w:rPr>
          <w:rStyle w:val="DataTypeTok"/>
        </w:rPr>
        <w:t>lwd =</w:t>
      </w:r>
      <w:r>
        <w:rPr>
          <w:rStyle w:val="NormalTok"/>
        </w:rPr>
        <w:t xml:space="preserve"> </w:t>
      </w:r>
      <w:r>
        <w:rPr>
          <w:rStyle w:val="DecValTok"/>
        </w:rPr>
        <w:t>2</w:t>
      </w:r>
      <w:r>
        <w:rPr>
          <w:rStyle w:val="NormalTok"/>
        </w:rPr>
        <w:t>)</w:t>
      </w:r>
      <w:r>
        <w:br/>
      </w:r>
      <w:r>
        <w:rPr>
          <w:rStyle w:val="KeywordTok"/>
        </w:rPr>
        <w:t>abline</w:t>
      </w:r>
      <w:r>
        <w:rPr>
          <w:rStyle w:val="NormalTok"/>
        </w:rPr>
        <w:t>(</w:t>
      </w:r>
      <w:r>
        <w:rPr>
          <w:rStyle w:val="DataTypeTok"/>
        </w:rPr>
        <w:t>h =</w:t>
      </w:r>
      <w:r>
        <w:rPr>
          <w:rStyle w:val="NormalTok"/>
        </w:rPr>
        <w:t xml:space="preserve"> </w:t>
      </w:r>
      <w:r>
        <w:rPr>
          <w:rStyle w:val="KeywordTok"/>
        </w:rPr>
        <w:t>c</w:t>
      </w:r>
      <w:r>
        <w:rPr>
          <w:rStyle w:val="NormalTok"/>
        </w:rPr>
        <w:t xml:space="preserve">(thr63), </w:t>
      </w:r>
      <w:r>
        <w:rPr>
          <w:rStyle w:val="DataTypeTok"/>
        </w:rPr>
        <w:t>col =</w:t>
      </w:r>
      <w:r>
        <w:rPr>
          <w:rStyle w:val="NormalTok"/>
        </w:rPr>
        <w:t xml:space="preserve"> </w:t>
      </w:r>
      <w:r>
        <w:rPr>
          <w:rStyle w:val="StringTok"/>
        </w:rPr>
        <w:t>"blue"</w:t>
      </w:r>
      <w:r>
        <w:rPr>
          <w:rStyle w:val="NormalTok"/>
        </w:rPr>
        <w:t xml:space="preserve">, </w:t>
      </w:r>
      <w:r>
        <w:rPr>
          <w:rStyle w:val="DataTypeTok"/>
        </w:rPr>
        <w:t>lwd =</w:t>
      </w:r>
      <w:r>
        <w:rPr>
          <w:rStyle w:val="NormalTok"/>
        </w:rPr>
        <w:t xml:space="preserve"> </w:t>
      </w:r>
      <w:r>
        <w:rPr>
          <w:rStyle w:val="DecValTok"/>
        </w:rPr>
        <w:t>1</w:t>
      </w:r>
      <w:r>
        <w:rPr>
          <w:rStyle w:val="NormalTok"/>
        </w:rPr>
        <w:t>)</w:t>
      </w:r>
    </w:p>
    <w:p w:rsidR="007553A7" w:rsidRDefault="007C57C0">
      <w:pPr>
        <w:pStyle w:val="FirstParagraph"/>
      </w:pPr>
      <w:r>
        <w:rPr>
          <w:noProof/>
        </w:rPr>
        <w:lastRenderedPageBreak/>
        <w:drawing>
          <wp:inline distT="0" distB="0" distL="0" distR="0">
            <wp:extent cx="5334000" cy="40005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logan_doqtl_files/figure-docx/qtl_plot_thr-1.png"/>
                    <pic:cNvPicPr>
                      <a:picLocks noChangeAspect="1" noChangeArrowheads="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rsidR="007553A7" w:rsidRDefault="007C57C0">
      <w:pPr>
        <w:pStyle w:val="BodyText"/>
      </w:pPr>
      <w:r>
        <w:t>The peak on Chr 6 is above the red significance line. #### Finding LOD peaks We can then plot the QTL scan. Note that you must provide the marker map, which we loaded earlier in the MUGA SNP data.</w:t>
      </w:r>
    </w:p>
    <w:p w:rsidR="007553A7" w:rsidRDefault="007C57C0">
      <w:pPr>
        <w:pStyle w:val="BodyText"/>
      </w:pPr>
      <w:r>
        <w:t>We c</w:t>
      </w:r>
      <w:r>
        <w:t xml:space="preserve">an find all of the peaks above the significance threshold using the </w:t>
      </w:r>
      <w:hyperlink r:id="rId29">
        <w:r>
          <w:rPr>
            <w:rStyle w:val="Hyperlink"/>
          </w:rPr>
          <w:t>find_peaks</w:t>
        </w:r>
      </w:hyperlink>
      <w:r>
        <w:t xml:space="preserve"> function.</w:t>
      </w:r>
    </w:p>
    <w:p w:rsidR="007553A7" w:rsidRDefault="007C57C0">
      <w:pPr>
        <w:pStyle w:val="SourceCode"/>
      </w:pPr>
      <w:r>
        <w:rPr>
          <w:rStyle w:val="KeywordTok"/>
        </w:rPr>
        <w:t>find_peaks</w:t>
      </w:r>
      <w:r>
        <w:rPr>
          <w:rStyle w:val="NormalTok"/>
        </w:rPr>
        <w:t>(</w:t>
      </w:r>
      <w:r>
        <w:rPr>
          <w:rStyle w:val="DataTypeTok"/>
        </w:rPr>
        <w:t>scan1_output =</w:t>
      </w:r>
      <w:r>
        <w:rPr>
          <w:rStyle w:val="NormalTok"/>
        </w:rPr>
        <w:t xml:space="preserve"> qtl.climb, </w:t>
      </w:r>
      <w:r>
        <w:rPr>
          <w:rStyle w:val="DataTypeTok"/>
        </w:rPr>
        <w:t>map =</w:t>
      </w:r>
      <w:r>
        <w:rPr>
          <w:rStyle w:val="NormalTok"/>
        </w:rPr>
        <w:t xml:space="preserve"> do.cross</w:t>
      </w:r>
      <w:r>
        <w:rPr>
          <w:rStyle w:val="OperatorTok"/>
        </w:rPr>
        <w:t>$</w:t>
      </w:r>
      <w:r>
        <w:rPr>
          <w:rStyle w:val="NormalTok"/>
        </w:rPr>
        <w:t xml:space="preserve">pmap, </w:t>
      </w:r>
      <w:r>
        <w:rPr>
          <w:rStyle w:val="DataTypeTok"/>
        </w:rPr>
        <w:t>threshold =</w:t>
      </w:r>
      <w:r>
        <w:rPr>
          <w:rStyle w:val="NormalTok"/>
        </w:rPr>
        <w:t xml:space="preserve"> thr63)</w:t>
      </w:r>
    </w:p>
    <w:p w:rsidR="007553A7" w:rsidRDefault="007C57C0">
      <w:pPr>
        <w:pStyle w:val="SourceCode"/>
      </w:pPr>
      <w:r>
        <w:rPr>
          <w:rStyle w:val="VerbatimChar"/>
        </w:rPr>
        <w:t xml:space="preserve">##   lodindex  </w:t>
      </w:r>
      <w:r>
        <w:rPr>
          <w:rStyle w:val="VerbatimChar"/>
        </w:rPr>
        <w:t xml:space="preserve">           lodcolumn chr      pos      lod</w:t>
      </w:r>
      <w:r>
        <w:br/>
      </w:r>
      <w:r>
        <w:rPr>
          <w:rStyle w:val="VerbatimChar"/>
        </w:rPr>
        <w:t>## 1        1 TS_frequency_climbing   6 97.82398 7.996058</w:t>
      </w:r>
      <w:r>
        <w:br/>
      </w:r>
      <w:r>
        <w:rPr>
          <w:rStyle w:val="VerbatimChar"/>
        </w:rPr>
        <w:t>## 2        1 TS_frequency_climbing  14 36.65222 6.682980</w:t>
      </w:r>
      <w:r>
        <w:br/>
      </w:r>
      <w:r>
        <w:rPr>
          <w:rStyle w:val="VerbatimChar"/>
        </w:rPr>
        <w:t>## 3        1 TS_frequency_climbing  18  4.33063 6.320311</w:t>
      </w:r>
    </w:p>
    <w:p w:rsidR="007553A7" w:rsidRDefault="007C57C0">
      <w:pPr>
        <w:pStyle w:val="FirstParagraph"/>
      </w:pPr>
      <w:r>
        <w:t>The support interval is determined usin</w:t>
      </w:r>
      <w:r>
        <w:t xml:space="preserve">g the </w:t>
      </w:r>
      <w:hyperlink r:id="rId30">
        <w:r>
          <w:rPr>
            <w:rStyle w:val="Hyperlink"/>
          </w:rPr>
          <w:t>Bayesian Credible Interval</w:t>
        </w:r>
      </w:hyperlink>
      <w:r>
        <w:t xml:space="preserve"> and represents the region most likely to contain the causative polymorphism(s). We can obtain this interval by adding a </w:t>
      </w:r>
      <w:r>
        <w:rPr>
          <w:rStyle w:val="VerbatimChar"/>
        </w:rPr>
        <w:t>prob</w:t>
      </w:r>
      <w:r>
        <w:t xml:space="preserve"> argument to </w:t>
      </w:r>
      <w:hyperlink r:id="rId31">
        <w:r>
          <w:rPr>
            <w:rStyle w:val="Hyperlink"/>
          </w:rPr>
          <w:t>find_peaks</w:t>
        </w:r>
      </w:hyperlink>
      <w:r>
        <w:t xml:space="preserve">. We pass in a value of </w:t>
      </w:r>
      <w:r>
        <w:rPr>
          <w:rStyle w:val="VerbatimChar"/>
        </w:rPr>
        <w:t>0.95</w:t>
      </w:r>
      <w:r>
        <w:t xml:space="preserve"> to request a support interval that contains the causal SNP 95% of the time.</w:t>
      </w:r>
    </w:p>
    <w:p w:rsidR="007553A7" w:rsidRDefault="007C57C0">
      <w:pPr>
        <w:pStyle w:val="SourceCode"/>
      </w:pPr>
      <w:r>
        <w:rPr>
          <w:rStyle w:val="KeywordTok"/>
        </w:rPr>
        <w:t>find_peaks</w:t>
      </w:r>
      <w:r>
        <w:rPr>
          <w:rStyle w:val="NormalTok"/>
        </w:rPr>
        <w:t>(</w:t>
      </w:r>
      <w:r>
        <w:rPr>
          <w:rStyle w:val="DataTypeTok"/>
        </w:rPr>
        <w:t>scan1_output =</w:t>
      </w:r>
      <w:r>
        <w:rPr>
          <w:rStyle w:val="NormalTok"/>
        </w:rPr>
        <w:t xml:space="preserve"> qtl.climb, </w:t>
      </w:r>
      <w:r>
        <w:rPr>
          <w:rStyle w:val="DataTypeTok"/>
        </w:rPr>
        <w:t>map =</w:t>
      </w:r>
      <w:r>
        <w:rPr>
          <w:rStyle w:val="NormalTok"/>
        </w:rPr>
        <w:t xml:space="preserve"> do.cross</w:t>
      </w:r>
      <w:r>
        <w:rPr>
          <w:rStyle w:val="OperatorTok"/>
        </w:rPr>
        <w:t>$</w:t>
      </w:r>
      <w:r>
        <w:rPr>
          <w:rStyle w:val="NormalTok"/>
        </w:rPr>
        <w:t xml:space="preserve">pmap, </w:t>
      </w:r>
      <w:r>
        <w:rPr>
          <w:rStyle w:val="DataTypeTok"/>
        </w:rPr>
        <w:t>threshold =</w:t>
      </w:r>
      <w:r>
        <w:rPr>
          <w:rStyle w:val="NormalTok"/>
        </w:rPr>
        <w:t xml:space="preserve"> thr90, </w:t>
      </w:r>
      <w:r>
        <w:rPr>
          <w:rStyle w:val="DataTypeTok"/>
        </w:rPr>
        <w:t>prob =</w:t>
      </w:r>
      <w:r>
        <w:rPr>
          <w:rStyle w:val="NormalTok"/>
        </w:rPr>
        <w:t xml:space="preserve"> </w:t>
      </w:r>
      <w:r>
        <w:rPr>
          <w:rStyle w:val="FloatTok"/>
        </w:rPr>
        <w:t>0.95</w:t>
      </w:r>
      <w:r>
        <w:rPr>
          <w:rStyle w:val="NormalTok"/>
        </w:rPr>
        <w:t>)</w:t>
      </w:r>
    </w:p>
    <w:p w:rsidR="007553A7" w:rsidRDefault="007C57C0">
      <w:pPr>
        <w:pStyle w:val="SourceCode"/>
      </w:pPr>
      <w:r>
        <w:rPr>
          <w:rStyle w:val="VerbatimChar"/>
        </w:rPr>
        <w:t>##   lodindex             lodcolumn chr      pos      lod    ci_lo    ci_hi</w:t>
      </w:r>
      <w:r>
        <w:br/>
      </w:r>
      <w:r>
        <w:rPr>
          <w:rStyle w:val="VerbatimChar"/>
        </w:rPr>
        <w:t>## 1        1 TS_frequency_climbing   6 97.82398 7.996058 95.67409 98.15002</w:t>
      </w:r>
    </w:p>
    <w:p w:rsidR="007553A7" w:rsidRDefault="007C57C0">
      <w:pPr>
        <w:pStyle w:val="FirstParagraph"/>
      </w:pPr>
      <w:r>
        <w:t>From the output above, you can see that the support interval is 2.48 Mb wide (95.67 to 98.15 Mb). The l</w:t>
      </w:r>
      <w:r>
        <w:t>ocation of the maximum LOD score is at 97.82 Mb.</w:t>
      </w:r>
    </w:p>
    <w:p w:rsidR="007553A7" w:rsidRDefault="007C57C0">
      <w:pPr>
        <w:pStyle w:val="Heading4"/>
      </w:pPr>
      <w:bookmarkStart w:id="13" w:name="estimated-qtl-effects"/>
      <w:bookmarkEnd w:id="13"/>
      <w:r>
        <w:lastRenderedPageBreak/>
        <w:t>Estimated QTL effects</w:t>
      </w:r>
    </w:p>
    <w:p w:rsidR="007553A7" w:rsidRDefault="007C57C0">
      <w:pPr>
        <w:pStyle w:val="FirstParagraph"/>
      </w:pPr>
      <w:r>
        <w:t>We will now zoom in on Chr 6 and look at the contribution of each of the eight founder alleles to the proportion of bone marrow reticulocytes that were micro-nucleated. Remember, the ma</w:t>
      </w:r>
      <w:r>
        <w:t xml:space="preserve">pping model above estimates the effect of each of the eight DO founders. We can plot these effects (also called ‘coefficients’) across Chr 6 using </w:t>
      </w:r>
      <w:hyperlink r:id="rId32">
        <w:r>
          <w:rPr>
            <w:rStyle w:val="Hyperlink"/>
          </w:rPr>
          <w:t>scan1coef</w:t>
        </w:r>
      </w:hyperlink>
      <w:r>
        <w:t>.</w:t>
      </w:r>
    </w:p>
    <w:p w:rsidR="007553A7" w:rsidRDefault="007C57C0">
      <w:pPr>
        <w:pStyle w:val="SourceCode"/>
      </w:pPr>
      <w:r>
        <w:rPr>
          <w:rStyle w:val="NormalTok"/>
        </w:rPr>
        <w:t>chr =</w:t>
      </w:r>
      <w:r>
        <w:rPr>
          <w:rStyle w:val="StringTok"/>
        </w:rPr>
        <w:t xml:space="preserve"> </w:t>
      </w:r>
      <w:r>
        <w:rPr>
          <w:rStyle w:val="DecValTok"/>
        </w:rPr>
        <w:t>6</w:t>
      </w:r>
      <w:r>
        <w:br/>
      </w:r>
      <w:r>
        <w:rPr>
          <w:rStyle w:val="NormalTok"/>
        </w:rPr>
        <w:t>coef06 =</w:t>
      </w:r>
      <w:r>
        <w:rPr>
          <w:rStyle w:val="StringTok"/>
        </w:rPr>
        <w:t xml:space="preserve"> </w:t>
      </w:r>
      <w:r>
        <w:rPr>
          <w:rStyle w:val="KeywordTok"/>
        </w:rPr>
        <w:t>scan1bl</w:t>
      </w:r>
      <w:r>
        <w:rPr>
          <w:rStyle w:val="KeywordTok"/>
        </w:rPr>
        <w:t>up</w:t>
      </w:r>
      <w:r>
        <w:rPr>
          <w:rStyle w:val="NormalTok"/>
        </w:rPr>
        <w:t>(</w:t>
      </w:r>
      <w:r>
        <w:rPr>
          <w:rStyle w:val="DataTypeTok"/>
        </w:rPr>
        <w:t>genoprobs =</w:t>
      </w:r>
      <w:r>
        <w:rPr>
          <w:rStyle w:val="NormalTok"/>
        </w:rPr>
        <w:t xml:space="preserve"> aprobs[,chr], </w:t>
      </w:r>
      <w:r>
        <w:rPr>
          <w:rStyle w:val="DataTypeTok"/>
        </w:rPr>
        <w:t>pheno =</w:t>
      </w:r>
      <w:r>
        <w:rPr>
          <w:rStyle w:val="NormalTok"/>
        </w:rPr>
        <w:t xml:space="preserve"> pheno[,index, </w:t>
      </w:r>
      <w:r>
        <w:rPr>
          <w:rStyle w:val="DataTypeTok"/>
        </w:rPr>
        <w:t>drop =</w:t>
      </w:r>
      <w:r>
        <w:rPr>
          <w:rStyle w:val="NormalTok"/>
        </w:rPr>
        <w:t xml:space="preserve"> </w:t>
      </w:r>
      <w:r>
        <w:rPr>
          <w:rStyle w:val="OtherTok"/>
        </w:rPr>
        <w:t>FALSE</w:t>
      </w:r>
      <w:r>
        <w:rPr>
          <w:rStyle w:val="NormalTok"/>
        </w:rPr>
        <w:t xml:space="preserve">], </w:t>
      </w:r>
      <w:r>
        <w:rPr>
          <w:rStyle w:val="DataTypeTok"/>
        </w:rPr>
        <w:t>kinship =</w:t>
      </w:r>
      <w:r>
        <w:rPr>
          <w:rStyle w:val="NormalTok"/>
        </w:rPr>
        <w:t xml:space="preserve"> kinship[[chr]], </w:t>
      </w:r>
      <w:r>
        <w:rPr>
          <w:rStyle w:val="DataTypeTok"/>
        </w:rPr>
        <w:t>addcovar =</w:t>
      </w:r>
      <w:r>
        <w:rPr>
          <w:rStyle w:val="NormalTok"/>
        </w:rPr>
        <w:t xml:space="preserve"> addcovar)</w:t>
      </w:r>
    </w:p>
    <w:p w:rsidR="007553A7" w:rsidRDefault="007C57C0">
      <w:pPr>
        <w:pStyle w:val="FirstParagraph"/>
      </w:pPr>
      <w:r>
        <w:t>This produces an object containing estimates of each of the eight DO founder allele effect. These are the βj values in the mapping equation abo</w:t>
      </w:r>
      <w:r>
        <w:t>ve.</w:t>
      </w:r>
    </w:p>
    <w:p w:rsidR="007553A7" w:rsidRDefault="007C57C0">
      <w:pPr>
        <w:pStyle w:val="SourceCode"/>
      </w:pPr>
      <w:r>
        <w:rPr>
          <w:rStyle w:val="KeywordTok"/>
        </w:rPr>
        <w:t>plot_coefCC</w:t>
      </w:r>
      <w:r>
        <w:rPr>
          <w:rStyle w:val="NormalTok"/>
        </w:rPr>
        <w:t>(</w:t>
      </w:r>
      <w:r>
        <w:rPr>
          <w:rStyle w:val="DataTypeTok"/>
        </w:rPr>
        <w:t>x =</w:t>
      </w:r>
      <w:r>
        <w:rPr>
          <w:rStyle w:val="NormalTok"/>
        </w:rPr>
        <w:t xml:space="preserve"> coef06, </w:t>
      </w:r>
      <w:r>
        <w:rPr>
          <w:rStyle w:val="DataTypeTok"/>
        </w:rPr>
        <w:t>map =</w:t>
      </w:r>
      <w:r>
        <w:rPr>
          <w:rStyle w:val="NormalTok"/>
        </w:rPr>
        <w:t xml:space="preserve"> do.cross</w:t>
      </w:r>
      <w:r>
        <w:rPr>
          <w:rStyle w:val="OperatorTok"/>
        </w:rPr>
        <w:t>$</w:t>
      </w:r>
      <w:r>
        <w:rPr>
          <w:rStyle w:val="NormalTok"/>
        </w:rPr>
        <w:t xml:space="preserve">pmap, </w:t>
      </w:r>
      <w:r>
        <w:rPr>
          <w:rStyle w:val="DataTypeTok"/>
        </w:rPr>
        <w:t>scan1_output =</w:t>
      </w:r>
      <w:r>
        <w:rPr>
          <w:rStyle w:val="NormalTok"/>
        </w:rPr>
        <w:t xml:space="preserve"> qtl.climb, </w:t>
      </w:r>
      <w:r>
        <w:rPr>
          <w:rStyle w:val="DataTypeTok"/>
        </w:rPr>
        <w:t>main =</w:t>
      </w:r>
      <w:r>
        <w:rPr>
          <w:rStyle w:val="NormalTok"/>
        </w:rPr>
        <w:t xml:space="preserve"> </w:t>
      </w:r>
      <w:r>
        <w:rPr>
          <w:rStyle w:val="StringTok"/>
        </w:rPr>
        <w:t>"Climbing frequency"</w:t>
      </w:r>
      <w:r>
        <w:rPr>
          <w:rStyle w:val="NormalTok"/>
        </w:rPr>
        <w:t>)</w:t>
      </w:r>
    </w:p>
    <w:p w:rsidR="007553A7" w:rsidRDefault="007C57C0">
      <w:pPr>
        <w:pStyle w:val="FirstParagraph"/>
      </w:pPr>
      <w:r>
        <w:rPr>
          <w:noProof/>
        </w:rPr>
        <w:drawing>
          <wp:inline distT="0" distB="0" distL="0" distR="0">
            <wp:extent cx="5334000" cy="40005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logan_doqtl_files/figure-docx/coef_plot-1.png"/>
                    <pic:cNvPicPr>
                      <a:picLocks noChangeAspect="1" noChangeArrowheads="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rsidR="007553A7" w:rsidRDefault="007C57C0">
      <w:pPr>
        <w:pStyle w:val="BodyText"/>
      </w:pPr>
      <w:r>
        <w:t>The top panel shows the eight founder allele effects (or model coefficients) along Chr 6. The founder allele effects are centerd at zero and the units</w:t>
      </w:r>
      <w:r>
        <w:t xml:space="preserve"> are the same as the phenotype. You can see that DO mice containing the PWK/PhJ allele (red) have higher climbing frequencies relative to the other seven founders. Additional DO mice with C57BL/6J (grey) and PWK/PhJ (green) alleles have lower climbing freq</w:t>
      </w:r>
      <w:r>
        <w:t>uncies. This means that the PWK/PhJ allele is associated with increased climbing and is potentially indicative of lower anxeity and higher exploration. The bottom panel shows the LOD score, with the support interval for the peak shaded blue.</w:t>
      </w:r>
    </w:p>
    <w:p w:rsidR="007553A7" w:rsidRDefault="007C57C0">
      <w:pPr>
        <w:pStyle w:val="Heading4"/>
      </w:pPr>
      <w:bookmarkStart w:id="14" w:name="snp-association-mapping"/>
      <w:bookmarkEnd w:id="14"/>
      <w:r>
        <w:lastRenderedPageBreak/>
        <w:t>SNP Associatio</w:t>
      </w:r>
      <w:r>
        <w:t>n Mapping</w:t>
      </w:r>
    </w:p>
    <w:p w:rsidR="007553A7" w:rsidRDefault="007C57C0">
      <w:pPr>
        <w:pStyle w:val="FirstParagraph"/>
      </w:pPr>
      <w:r>
        <w:t xml:space="preserve">At this point, we have a 2.50 Mb wide support interval that contains a polymorphism(s) that influences climbing behavior. Next, we will impute the DO founder sequences onto the DO genomes. The </w:t>
      </w:r>
      <w:hyperlink r:id="rId34">
        <w:r>
          <w:rPr>
            <w:rStyle w:val="Hyperlink"/>
          </w:rPr>
          <w:t>Sanger Mouse Genomes Project</w:t>
        </w:r>
      </w:hyperlink>
      <w:r>
        <w:t xml:space="preserve"> has sequenced the eight DO founders and provides SNP, insertion-deletion (indel), and structural variant files for the strains (see </w:t>
      </w:r>
      <w:hyperlink r:id="rId35">
        <w:r>
          <w:rPr>
            <w:rStyle w:val="Hyperlink"/>
          </w:rPr>
          <w:t>Bau</w:t>
        </w:r>
        <w:r>
          <w:rPr>
            <w:rStyle w:val="Hyperlink"/>
          </w:rPr>
          <w:t>d et.al., Nat. Gen., 2013</w:t>
        </w:r>
      </w:hyperlink>
      <w:r>
        <w:t xml:space="preserve">). We can impute these SNPs onto the DO genomes and then perform association mapping. The process involves several steps and I have provided a function to encapsulate the steps. To access the Sanger SNPs, we use a SQLlite database </w:t>
      </w:r>
      <w:r>
        <w:t xml:space="preserve">provided by </w:t>
      </w:r>
      <w:hyperlink r:id="rId36">
        <w:r>
          <w:rPr>
            <w:rStyle w:val="Hyperlink"/>
          </w:rPr>
          <w:t>Karl Broman</w:t>
        </w:r>
      </w:hyperlink>
      <w:r>
        <w:t xml:space="preserve">. You should have downloaded this during </w:t>
      </w:r>
      <w:hyperlink r:id="rId37">
        <w:r>
          <w:rPr>
            <w:rStyle w:val="Hyperlink"/>
          </w:rPr>
          <w:t>Setup</w:t>
        </w:r>
      </w:hyperlink>
      <w:r>
        <w:t xml:space="preserve">. It is available from the </w:t>
      </w:r>
      <w:hyperlink r:id="rId38">
        <w:r>
          <w:rPr>
            <w:rStyle w:val="Hyperlink"/>
          </w:rPr>
          <w:t>JAX FTP site</w:t>
        </w:r>
      </w:hyperlink>
      <w:r>
        <w:t>, but the file is 3 GB, so it may take too long to download right now.</w:t>
      </w:r>
    </w:p>
    <w:p w:rsidR="007553A7" w:rsidRDefault="007C57C0">
      <w:pPr>
        <w:pStyle w:val="Figure"/>
      </w:pPr>
      <w:r>
        <w:rPr>
          <w:noProof/>
        </w:rPr>
        <w:drawing>
          <wp:inline distT="0" distB="0" distL="0" distR="0">
            <wp:extent cx="3657600" cy="123261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DO.impute.founders.sm.png"/>
                    <pic:cNvPicPr>
                      <a:picLocks noChangeAspect="1" noChangeArrowheads="1"/>
                    </pic:cNvPicPr>
                  </pic:nvPicPr>
                  <pic:blipFill>
                    <a:blip r:embed="rId39"/>
                    <a:stretch>
                      <a:fillRect/>
                    </a:stretch>
                  </pic:blipFill>
                  <pic:spPr bwMode="auto">
                    <a:xfrm>
                      <a:off x="0" y="0"/>
                      <a:ext cx="3657600" cy="1232610"/>
                    </a:xfrm>
                    <a:prstGeom prst="rect">
                      <a:avLst/>
                    </a:prstGeom>
                    <a:noFill/>
                    <a:ln w="9525">
                      <a:noFill/>
                      <a:headEnd/>
                      <a:tailEnd/>
                    </a:ln>
                  </pic:spPr>
                </pic:pic>
              </a:graphicData>
            </a:graphic>
          </wp:inline>
        </w:drawing>
      </w:r>
    </w:p>
    <w:p w:rsidR="007553A7" w:rsidRDefault="007C57C0">
      <w:pPr>
        <w:pStyle w:val="FirstParagraph"/>
      </w:pPr>
      <w:r>
        <w:t>Association mapping involves imputing the founder SNPs onto each DO genome and fitting the mapping model at each SNP. At each marker, we fit the following model:</w:t>
      </w:r>
    </w:p>
    <w:p w:rsidR="007553A7" w:rsidRDefault="007C57C0">
      <w:pPr>
        <w:pStyle w:val="Figure"/>
      </w:pPr>
      <w:r>
        <w:rPr>
          <w:noProof/>
        </w:rPr>
        <w:drawing>
          <wp:inline distT="0" distB="0" distL="0" distR="0">
            <wp:extent cx="3314700" cy="152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s/equation2.png"/>
                    <pic:cNvPicPr>
                      <a:picLocks noChangeAspect="1" noChangeArrowheads="1"/>
                    </pic:cNvPicPr>
                  </pic:nvPicPr>
                  <pic:blipFill>
                    <a:blip r:embed="rId40"/>
                    <a:stretch>
                      <a:fillRect/>
                    </a:stretch>
                  </pic:blipFill>
                  <pic:spPr bwMode="auto">
                    <a:xfrm>
                      <a:off x="0" y="0"/>
                      <a:ext cx="3314700" cy="152400"/>
                    </a:xfrm>
                    <a:prstGeom prst="rect">
                      <a:avLst/>
                    </a:prstGeom>
                    <a:noFill/>
                    <a:ln w="9525">
                      <a:noFill/>
                      <a:headEnd/>
                      <a:tailEnd/>
                    </a:ln>
                  </pic:spPr>
                </pic:pic>
              </a:graphicData>
            </a:graphic>
          </wp:inline>
        </w:drawing>
      </w:r>
    </w:p>
    <w:p w:rsidR="007553A7" w:rsidRDefault="007C57C0">
      <w:pPr>
        <w:pStyle w:val="FirstParagraph"/>
      </w:pPr>
      <w:r>
        <w:t>where:</w:t>
      </w:r>
    </w:p>
    <w:p w:rsidR="007553A7" w:rsidRDefault="007C57C0">
      <w:pPr>
        <w:pStyle w:val="Compact"/>
      </w:pPr>
      <w:r>
        <w:t>yi is the phenotype for mouse i,</w:t>
      </w:r>
    </w:p>
    <w:p w:rsidR="007553A7" w:rsidRDefault="007C57C0">
      <w:pPr>
        <w:pStyle w:val="Compact"/>
      </w:pPr>
      <w:r>
        <w:t>βs is the effect of study cohort,</w:t>
      </w:r>
    </w:p>
    <w:p w:rsidR="007553A7" w:rsidRDefault="007C57C0">
      <w:pPr>
        <w:pStyle w:val="Compact"/>
      </w:pPr>
      <w:r>
        <w:t>si is the study cohort for mouse i,</w:t>
      </w:r>
    </w:p>
    <w:p w:rsidR="007553A7" w:rsidRDefault="007C57C0">
      <w:pPr>
        <w:pStyle w:val="Compact"/>
      </w:pPr>
      <w:r>
        <w:t>βm is the effect of adding one allele at marker m,</w:t>
      </w:r>
    </w:p>
    <w:p w:rsidR="007553A7" w:rsidRDefault="007C57C0">
      <w:pPr>
        <w:pStyle w:val="Compact"/>
      </w:pPr>
      <w:r>
        <w:t>gim is the allele call for mouse i at marker m,</w:t>
      </w:r>
    </w:p>
    <w:p w:rsidR="007553A7" w:rsidRDefault="007C57C0">
      <w:pPr>
        <w:pStyle w:val="Compact"/>
      </w:pPr>
      <w:r>
        <w:t>λi is an adjustment for kinship-induced correlated err</w:t>
      </w:r>
      <w:r>
        <w:t>ors for mouse i,</w:t>
      </w:r>
    </w:p>
    <w:p w:rsidR="007553A7" w:rsidRDefault="007C57C0">
      <w:pPr>
        <w:pStyle w:val="Compact"/>
      </w:pPr>
      <w:r>
        <w:t>εi is the residual error for mouse i.</w:t>
      </w:r>
    </w:p>
    <w:p w:rsidR="007553A7" w:rsidRDefault="007C57C0">
      <w:pPr>
        <w:pStyle w:val="BodyText"/>
      </w:pPr>
      <w:r>
        <w:t xml:space="preserve">We can call </w:t>
      </w:r>
      <w:hyperlink r:id="rId41">
        <w:r>
          <w:rPr>
            <w:rStyle w:val="Hyperlink"/>
          </w:rPr>
          <w:t>scan1snps</w:t>
        </w:r>
      </w:hyperlink>
      <w:r>
        <w:t xml:space="preserve"> to perform association mapping in the QTL interval on Chr 6. We first create variables for the chromosome</w:t>
      </w:r>
      <w:r>
        <w:t xml:space="preserve"> and support interval where we are mapping. We then create a function to get the SNPs from the founder SNP database The path to the SNP database (</w:t>
      </w:r>
      <w:r>
        <w:rPr>
          <w:rStyle w:val="VerbatimChar"/>
        </w:rPr>
        <w:t>snpdb_file</w:t>
      </w:r>
      <w:r>
        <w:t xml:space="preserve"> argument) points to the data directory on your computer. Note that it is important to use the </w:t>
      </w:r>
      <w:r>
        <w:rPr>
          <w:rStyle w:val="VerbatimChar"/>
        </w:rPr>
        <w:t>keep_</w:t>
      </w:r>
      <w:r>
        <w:rPr>
          <w:rStyle w:val="VerbatimChar"/>
        </w:rPr>
        <w:t>all_snps = TRUE</w:t>
      </w:r>
      <w:r>
        <w:t xml:space="preserve"> in order to return all SNPs.</w:t>
      </w:r>
    </w:p>
    <w:p w:rsidR="007553A7" w:rsidRDefault="007C57C0">
      <w:pPr>
        <w:pStyle w:val="SourceCode"/>
      </w:pPr>
      <w:r>
        <w:rPr>
          <w:rStyle w:val="NormalTok"/>
        </w:rPr>
        <w:t>chr =</w:t>
      </w:r>
      <w:r>
        <w:rPr>
          <w:rStyle w:val="StringTok"/>
        </w:rPr>
        <w:t xml:space="preserve"> </w:t>
      </w:r>
      <w:r>
        <w:rPr>
          <w:rStyle w:val="DecValTok"/>
        </w:rPr>
        <w:t>6</w:t>
      </w:r>
      <w:r>
        <w:br/>
      </w:r>
      <w:r>
        <w:rPr>
          <w:rStyle w:val="NormalTok"/>
        </w:rPr>
        <w:t>start =</w:t>
      </w:r>
      <w:r>
        <w:rPr>
          <w:rStyle w:val="StringTok"/>
        </w:rPr>
        <w:t xml:space="preserve"> </w:t>
      </w:r>
      <w:r>
        <w:rPr>
          <w:rStyle w:val="DecValTok"/>
        </w:rPr>
        <w:t>95</w:t>
      </w:r>
      <w:r>
        <w:br/>
      </w:r>
      <w:r>
        <w:rPr>
          <w:rStyle w:val="NormalTok"/>
        </w:rPr>
        <w:t>end =</w:t>
      </w:r>
      <w:r>
        <w:rPr>
          <w:rStyle w:val="StringTok"/>
        </w:rPr>
        <w:t xml:space="preserve"> </w:t>
      </w:r>
      <w:r>
        <w:rPr>
          <w:rStyle w:val="DecValTok"/>
        </w:rPr>
        <w:t>99</w:t>
      </w:r>
      <w:r>
        <w:br/>
      </w:r>
      <w:r>
        <w:rPr>
          <w:rStyle w:val="NormalTok"/>
        </w:rPr>
        <w:t>query_func =</w:t>
      </w:r>
      <w:r>
        <w:rPr>
          <w:rStyle w:val="StringTok"/>
        </w:rPr>
        <w:t xml:space="preserve"> </w:t>
      </w:r>
      <w:r>
        <w:rPr>
          <w:rStyle w:val="KeywordTok"/>
        </w:rPr>
        <w:t>create_variant_query_func</w:t>
      </w:r>
      <w:r>
        <w:rPr>
          <w:rStyle w:val="NormalTok"/>
        </w:rPr>
        <w:t>(</w:t>
      </w:r>
      <w:r>
        <w:rPr>
          <w:rStyle w:val="StringTok"/>
        </w:rPr>
        <w:t>"../data/cc_variants.sqlite"</w:t>
      </w:r>
      <w:r>
        <w:rPr>
          <w:rStyle w:val="NormalTok"/>
        </w:rPr>
        <w:t>)</w:t>
      </w:r>
      <w:r>
        <w:br/>
      </w:r>
      <w:r>
        <w:rPr>
          <w:rStyle w:val="NormalTok"/>
        </w:rPr>
        <w:t>assoc =</w:t>
      </w:r>
      <w:r>
        <w:rPr>
          <w:rStyle w:val="StringTok"/>
        </w:rPr>
        <w:t xml:space="preserve"> </w:t>
      </w:r>
      <w:r>
        <w:rPr>
          <w:rStyle w:val="KeywordTok"/>
        </w:rPr>
        <w:t>scan1snps</w:t>
      </w:r>
      <w:r>
        <w:rPr>
          <w:rStyle w:val="NormalTok"/>
        </w:rPr>
        <w:t>(</w:t>
      </w:r>
      <w:r>
        <w:rPr>
          <w:rStyle w:val="DataTypeTok"/>
        </w:rPr>
        <w:t>genoprobs =</w:t>
      </w:r>
      <w:r>
        <w:rPr>
          <w:rStyle w:val="NormalTok"/>
        </w:rPr>
        <w:t xml:space="preserve"> aprobs[,chr], </w:t>
      </w:r>
      <w:r>
        <w:rPr>
          <w:rStyle w:val="DataTypeTok"/>
        </w:rPr>
        <w:t>map =</w:t>
      </w:r>
      <w:r>
        <w:rPr>
          <w:rStyle w:val="NormalTok"/>
        </w:rPr>
        <w:t xml:space="preserve"> do.cross</w:t>
      </w:r>
      <w:r>
        <w:rPr>
          <w:rStyle w:val="OperatorTok"/>
        </w:rPr>
        <w:t>$</w:t>
      </w:r>
      <w:r>
        <w:rPr>
          <w:rStyle w:val="NormalTok"/>
        </w:rPr>
        <w:t xml:space="preserve">pmap, </w:t>
      </w:r>
      <w:r>
        <w:rPr>
          <w:rStyle w:val="DataTypeTok"/>
        </w:rPr>
        <w:t>pheno =</w:t>
      </w:r>
      <w:r>
        <w:rPr>
          <w:rStyle w:val="NormalTok"/>
        </w:rPr>
        <w:t xml:space="preserve"> pheno[,index,</w:t>
      </w:r>
      <w:r>
        <w:rPr>
          <w:rStyle w:val="DataTypeTok"/>
        </w:rPr>
        <w:t>drop =</w:t>
      </w:r>
      <w:r>
        <w:rPr>
          <w:rStyle w:val="NormalTok"/>
        </w:rPr>
        <w:t xml:space="preserve"> </w:t>
      </w:r>
      <w:r>
        <w:rPr>
          <w:rStyle w:val="OtherTok"/>
        </w:rPr>
        <w:t>FALSE</w:t>
      </w:r>
      <w:r>
        <w:rPr>
          <w:rStyle w:val="NormalTok"/>
        </w:rPr>
        <w:t xml:space="preserve">], </w:t>
      </w:r>
      <w:r>
        <w:rPr>
          <w:rStyle w:val="DataTypeTok"/>
        </w:rPr>
        <w:t>kinship =</w:t>
      </w:r>
      <w:r>
        <w:rPr>
          <w:rStyle w:val="NormalTok"/>
        </w:rPr>
        <w:t xml:space="preserve"> kinship, </w:t>
      </w:r>
      <w:r>
        <w:rPr>
          <w:rStyle w:val="DataTypeTok"/>
        </w:rPr>
        <w:t>addcovar =</w:t>
      </w:r>
      <w:r>
        <w:rPr>
          <w:rStyle w:val="NormalTok"/>
        </w:rPr>
        <w:t xml:space="preserve"> addcovar, </w:t>
      </w:r>
      <w:r>
        <w:rPr>
          <w:rStyle w:val="DataTypeTok"/>
        </w:rPr>
        <w:t>query_func =</w:t>
      </w:r>
      <w:r>
        <w:rPr>
          <w:rStyle w:val="NormalTok"/>
        </w:rPr>
        <w:t xml:space="preserve"> query_func, </w:t>
      </w:r>
      <w:r>
        <w:rPr>
          <w:rStyle w:val="DataTypeTok"/>
        </w:rPr>
        <w:t>chr =</w:t>
      </w:r>
      <w:r>
        <w:rPr>
          <w:rStyle w:val="NormalTok"/>
        </w:rPr>
        <w:t xml:space="preserve"> chr, </w:t>
      </w:r>
      <w:r>
        <w:rPr>
          <w:rStyle w:val="DataTypeTok"/>
        </w:rPr>
        <w:t>start =</w:t>
      </w:r>
      <w:r>
        <w:rPr>
          <w:rStyle w:val="NormalTok"/>
        </w:rPr>
        <w:t xml:space="preserve"> start, </w:t>
      </w:r>
      <w:r>
        <w:rPr>
          <w:rStyle w:val="DataTypeTok"/>
        </w:rPr>
        <w:t>end =</w:t>
      </w:r>
      <w:r>
        <w:rPr>
          <w:rStyle w:val="NormalTok"/>
        </w:rPr>
        <w:t xml:space="preserve"> end, </w:t>
      </w:r>
      <w:r>
        <w:rPr>
          <w:rStyle w:val="DataTypeTok"/>
        </w:rPr>
        <w:t>keep_all_snps =</w:t>
      </w:r>
      <w:r>
        <w:rPr>
          <w:rStyle w:val="NormalTok"/>
        </w:rPr>
        <w:t xml:space="preserve"> </w:t>
      </w:r>
      <w:r>
        <w:rPr>
          <w:rStyle w:val="OtherTok"/>
        </w:rPr>
        <w:t>TRUE</w:t>
      </w:r>
      <w:r>
        <w:rPr>
          <w:rStyle w:val="NormalTok"/>
        </w:rPr>
        <w:t>)</w:t>
      </w:r>
    </w:p>
    <w:p w:rsidR="007553A7" w:rsidRDefault="007C57C0">
      <w:pPr>
        <w:pStyle w:val="FirstParagraph"/>
      </w:pPr>
      <w:r>
        <w:lastRenderedPageBreak/>
        <w:t xml:space="preserve">The </w:t>
      </w:r>
      <w:r>
        <w:rPr>
          <w:rStyle w:val="VerbatimChar"/>
        </w:rPr>
        <w:t>assoc</w:t>
      </w:r>
      <w:r>
        <w:t xml:space="preserve"> object is a list containing two objects: the LOD scores for each unique SNP and a </w:t>
      </w:r>
      <w:r>
        <w:rPr>
          <w:rStyle w:val="VerbatimChar"/>
        </w:rPr>
        <w:t>snpinfo</w:t>
      </w:r>
      <w:r>
        <w:t xml:space="preserve"> object that maps the LOD scores to each S</w:t>
      </w:r>
      <w:r>
        <w:t xml:space="preserve">NP. To plot the association mapping, we need to provide both objects to the </w:t>
      </w:r>
      <w:hyperlink r:id="rId42">
        <w:r>
          <w:rPr>
            <w:rStyle w:val="Hyperlink"/>
          </w:rPr>
          <w:t>plot_snpasso</w:t>
        </w:r>
      </w:hyperlink>
      <w:r>
        <w:t xml:space="preserve"> function.</w:t>
      </w:r>
    </w:p>
    <w:p w:rsidR="007553A7" w:rsidRDefault="007C57C0">
      <w:pPr>
        <w:pStyle w:val="SourceCode"/>
      </w:pPr>
      <w:r>
        <w:rPr>
          <w:rStyle w:val="KeywordTok"/>
        </w:rPr>
        <w:t>plot_snpasso</w:t>
      </w:r>
      <w:r>
        <w:rPr>
          <w:rStyle w:val="NormalTok"/>
        </w:rPr>
        <w:t>(</w:t>
      </w:r>
      <w:r>
        <w:rPr>
          <w:rStyle w:val="DataTypeTok"/>
        </w:rPr>
        <w:t>scan1output =</w:t>
      </w:r>
      <w:r>
        <w:rPr>
          <w:rStyle w:val="NormalTok"/>
        </w:rPr>
        <w:t xml:space="preserve"> assoc</w:t>
      </w:r>
      <w:r>
        <w:rPr>
          <w:rStyle w:val="OperatorTok"/>
        </w:rPr>
        <w:t>$</w:t>
      </w:r>
      <w:r>
        <w:rPr>
          <w:rStyle w:val="NormalTok"/>
        </w:rPr>
        <w:t xml:space="preserve">lod, </w:t>
      </w:r>
      <w:r>
        <w:rPr>
          <w:rStyle w:val="DataTypeTok"/>
        </w:rPr>
        <w:t>snpinfo =</w:t>
      </w:r>
      <w:r>
        <w:rPr>
          <w:rStyle w:val="NormalTok"/>
        </w:rPr>
        <w:t xml:space="preserve"> assoc</w:t>
      </w:r>
      <w:r>
        <w:rPr>
          <w:rStyle w:val="OperatorTok"/>
        </w:rPr>
        <w:t>$</w:t>
      </w:r>
      <w:r>
        <w:rPr>
          <w:rStyle w:val="NormalTok"/>
        </w:rPr>
        <w:t xml:space="preserve">snpinfo, </w:t>
      </w:r>
      <w:r>
        <w:rPr>
          <w:rStyle w:val="DataTypeTok"/>
        </w:rPr>
        <w:t>main =</w:t>
      </w:r>
      <w:r>
        <w:rPr>
          <w:rStyle w:val="NormalTok"/>
        </w:rPr>
        <w:t xml:space="preserve"> </w:t>
      </w:r>
      <w:r>
        <w:rPr>
          <w:rStyle w:val="StringTok"/>
        </w:rPr>
        <w:t xml:space="preserve">"Climbing </w:t>
      </w:r>
      <w:r>
        <w:rPr>
          <w:rStyle w:val="StringTok"/>
        </w:rPr>
        <w:t>frequency"</w:t>
      </w:r>
      <w:r>
        <w:rPr>
          <w:rStyle w:val="NormalTok"/>
        </w:rPr>
        <w:t>)</w:t>
      </w:r>
    </w:p>
    <w:p w:rsidR="007553A7" w:rsidRDefault="007C57C0">
      <w:pPr>
        <w:pStyle w:val="FirstParagraph"/>
      </w:pPr>
      <w:r>
        <w:rPr>
          <w:noProof/>
        </w:rPr>
        <w:drawing>
          <wp:inline distT="0" distB="0" distL="0" distR="0">
            <wp:extent cx="5334000" cy="3556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logan_doqtl_files/figure-docx/assoc_fig-1.png"/>
                    <pic:cNvPicPr>
                      <a:picLocks noChangeAspect="1" noChangeArrowheads="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rsidR="007553A7" w:rsidRDefault="007C57C0">
      <w:pPr>
        <w:pStyle w:val="BodyText"/>
      </w:pPr>
      <w:r>
        <w:t>This plot shows the LOD score for each SNP in the QTL interval. The SNPs occur in “shelves” because all of the SNPs in a haplotype block have the same founder strain pattern. The SNPs with the highest LOD scores are the ones for which CAST/Ei</w:t>
      </w:r>
      <w:r>
        <w:t>J contributes the alternate allele.</w:t>
      </w:r>
    </w:p>
    <w:p w:rsidR="007553A7" w:rsidRDefault="007C57C0">
      <w:pPr>
        <w:pStyle w:val="BodyText"/>
      </w:pPr>
      <w:r>
        <w:t xml:space="preserve">We can add a plot containing the genes in the QTL interval using the </w:t>
      </w:r>
      <w:r>
        <w:rPr>
          <w:rStyle w:val="VerbatimChar"/>
        </w:rPr>
        <w:t>plot_genes</w:t>
      </w:r>
      <w:r>
        <w:t xml:space="preserve"> function. We get the genes from another SQLlite database created by </w:t>
      </w:r>
      <w:hyperlink r:id="rId44">
        <w:r>
          <w:rPr>
            <w:rStyle w:val="Hyperlink"/>
          </w:rPr>
          <w:t>Karl Broman</w:t>
        </w:r>
      </w:hyperlink>
      <w:r>
        <w:t xml:space="preserve"> called </w:t>
      </w:r>
      <w:r>
        <w:rPr>
          <w:rStyle w:val="VerbatimChar"/>
        </w:rPr>
        <w:t>mouse_g</w:t>
      </w:r>
      <w:r>
        <w:rPr>
          <w:rStyle w:val="VerbatimChar"/>
        </w:rPr>
        <w:t>enes.sqlite</w:t>
      </w:r>
      <w:r>
        <w:t xml:space="preserve">. You should have downloaded this from the </w:t>
      </w:r>
      <w:hyperlink r:id="rId45">
        <w:r>
          <w:rPr>
            <w:rStyle w:val="Hyperlink"/>
          </w:rPr>
          <w:t>JAX FTP Site</w:t>
        </w:r>
      </w:hyperlink>
      <w:r>
        <w:t xml:space="preserve"> during </w:t>
      </w:r>
      <w:hyperlink r:id="rId46">
        <w:r>
          <w:rPr>
            <w:rStyle w:val="Hyperlink"/>
          </w:rPr>
          <w:t>Setup</w:t>
        </w:r>
      </w:hyperlink>
      <w:r>
        <w:t>.</w:t>
      </w:r>
    </w:p>
    <w:p w:rsidR="007553A7" w:rsidRDefault="007C57C0">
      <w:pPr>
        <w:pStyle w:val="BodyText"/>
      </w:pPr>
      <w:r>
        <w:t>First, we must query the database for the genes in the interval. The pa</w:t>
      </w:r>
      <w:r>
        <w:t>th of the first argument points to the data directory on your computer.</w:t>
      </w:r>
    </w:p>
    <w:p w:rsidR="007553A7" w:rsidRDefault="007C57C0">
      <w:pPr>
        <w:pStyle w:val="SourceCode"/>
      </w:pPr>
      <w:r>
        <w:rPr>
          <w:rStyle w:val="NormalTok"/>
        </w:rPr>
        <w:t>query_genes =</w:t>
      </w:r>
      <w:r>
        <w:rPr>
          <w:rStyle w:val="StringTok"/>
        </w:rPr>
        <w:t xml:space="preserve"> </w:t>
      </w:r>
      <w:r>
        <w:rPr>
          <w:rStyle w:val="KeywordTok"/>
        </w:rPr>
        <w:t>create_gene_query_func</w:t>
      </w:r>
      <w:r>
        <w:rPr>
          <w:rStyle w:val="NormalTok"/>
        </w:rPr>
        <w:t>(</w:t>
      </w:r>
      <w:r>
        <w:rPr>
          <w:rStyle w:val="DataTypeTok"/>
        </w:rPr>
        <w:t>dbfile =</w:t>
      </w:r>
      <w:r>
        <w:rPr>
          <w:rStyle w:val="NormalTok"/>
        </w:rPr>
        <w:t xml:space="preserve"> </w:t>
      </w:r>
      <w:r>
        <w:rPr>
          <w:rStyle w:val="StringTok"/>
        </w:rPr>
        <w:t>"../data/mouse_genes.sqlite"</w:t>
      </w:r>
      <w:r>
        <w:rPr>
          <w:rStyle w:val="NormalTok"/>
        </w:rPr>
        <w:t xml:space="preserve">, </w:t>
      </w:r>
      <w:r>
        <w:rPr>
          <w:rStyle w:val="DataTypeTok"/>
        </w:rPr>
        <w:t>filter =</w:t>
      </w:r>
      <w:r>
        <w:rPr>
          <w:rStyle w:val="NormalTok"/>
        </w:rPr>
        <w:t xml:space="preserve"> </w:t>
      </w:r>
      <w:r>
        <w:rPr>
          <w:rStyle w:val="StringTok"/>
        </w:rPr>
        <w:t>"source='MGI'"</w:t>
      </w:r>
      <w:r>
        <w:rPr>
          <w:rStyle w:val="NormalTok"/>
        </w:rPr>
        <w:t>)</w:t>
      </w:r>
      <w:r>
        <w:br/>
      </w:r>
      <w:r>
        <w:rPr>
          <w:rStyle w:val="NormalTok"/>
        </w:rPr>
        <w:t>genes =</w:t>
      </w:r>
      <w:r>
        <w:rPr>
          <w:rStyle w:val="StringTok"/>
        </w:rPr>
        <w:t xml:space="preserve"> </w:t>
      </w:r>
      <w:r>
        <w:rPr>
          <w:rStyle w:val="KeywordTok"/>
        </w:rPr>
        <w:t>query_genes</w:t>
      </w:r>
      <w:r>
        <w:rPr>
          <w:rStyle w:val="NormalTok"/>
        </w:rPr>
        <w:t>(chr, start, end)</w:t>
      </w:r>
      <w:r>
        <w:br/>
      </w:r>
      <w:r>
        <w:rPr>
          <w:rStyle w:val="KeywordTok"/>
        </w:rPr>
        <w:t>head</w:t>
      </w:r>
      <w:r>
        <w:rPr>
          <w:rStyle w:val="NormalTok"/>
        </w:rPr>
        <w:t>(genes)</w:t>
      </w:r>
    </w:p>
    <w:p w:rsidR="007553A7" w:rsidRDefault="007C57C0">
      <w:pPr>
        <w:pStyle w:val="SourceCode"/>
      </w:pPr>
      <w:r>
        <w:rPr>
          <w:rStyle w:val="VerbatimChar"/>
        </w:rPr>
        <w:t>##   chr source       type    start     stop score strand phase</w:t>
      </w:r>
      <w:r>
        <w:br/>
      </w:r>
      <w:r>
        <w:rPr>
          <w:rStyle w:val="VerbatimChar"/>
        </w:rPr>
        <w:t>## 1   6    MGI       gene 95.09201 95.09508    NA   &lt;NA&gt;    NA</w:t>
      </w:r>
      <w:r>
        <w:br/>
      </w:r>
      <w:r>
        <w:rPr>
          <w:rStyle w:val="VerbatimChar"/>
        </w:rPr>
        <w:t>## 2   6    MGI       gene 95.10020 95.10031    NA      -    NA</w:t>
      </w:r>
      <w:r>
        <w:br/>
      </w:r>
      <w:r>
        <w:rPr>
          <w:rStyle w:val="VerbatimChar"/>
        </w:rPr>
        <w:lastRenderedPageBreak/>
        <w:t>## 3   6    MGI       gene 95.11401 95.11795    NA      -    NA</w:t>
      </w:r>
      <w:r>
        <w:br/>
      </w:r>
      <w:r>
        <w:rPr>
          <w:rStyle w:val="VerbatimChar"/>
        </w:rPr>
        <w:t>## 4   6    MGI       gene 95.11724 95.12979    NA      +    NA</w:t>
      </w:r>
      <w:r>
        <w:br/>
      </w:r>
      <w:r>
        <w:rPr>
          <w:rStyle w:val="VerbatimChar"/>
        </w:rPr>
        <w:t>## 5   6    MGI pseudogene 95.23992 95.24061    NA      -    NA</w:t>
      </w:r>
      <w:r>
        <w:br/>
      </w:r>
      <w:r>
        <w:rPr>
          <w:rStyle w:val="VerbatimChar"/>
        </w:rPr>
        <w:t>## 6   6    MGI pseudogene 95.25030 95.25451    NA      +    NA</w:t>
      </w:r>
      <w:r>
        <w:br/>
      </w:r>
      <w:r>
        <w:rPr>
          <w:rStyle w:val="VerbatimChar"/>
        </w:rPr>
        <w:t>##                ID          Name Parent</w:t>
      </w:r>
      <w:r>
        <w:br/>
      </w:r>
      <w:r>
        <w:rPr>
          <w:rStyle w:val="VerbatimChar"/>
        </w:rPr>
        <w:t>## 1 MGI:MGI:1920900 2</w:t>
      </w:r>
      <w:r>
        <w:rPr>
          <w:rStyle w:val="VerbatimChar"/>
        </w:rPr>
        <w:t>410024F20Rik   &lt;NA&gt;</w:t>
      </w:r>
      <w:r>
        <w:br/>
      </w:r>
      <w:r>
        <w:rPr>
          <w:rStyle w:val="VerbatimChar"/>
        </w:rPr>
        <w:t>## 2 MGI:MGI:5456278       Gm26501   &lt;NA&gt;</w:t>
      </w:r>
      <w:r>
        <w:br/>
      </w:r>
      <w:r>
        <w:rPr>
          <w:rStyle w:val="VerbatimChar"/>
        </w:rPr>
        <w:t>## 3 MGI:MGI:1919467      Kbtbd8os   &lt;NA&gt;</w:t>
      </w:r>
      <w:r>
        <w:br/>
      </w:r>
      <w:r>
        <w:rPr>
          <w:rStyle w:val="VerbatimChar"/>
        </w:rPr>
        <w:t>## 4 MGI:MGI:2661430        Kbtbd8   &lt;NA&gt;</w:t>
      </w:r>
      <w:r>
        <w:br/>
      </w:r>
      <w:r>
        <w:rPr>
          <w:rStyle w:val="VerbatimChar"/>
        </w:rPr>
        <w:t>## 5 MGI:MGI:5010007       Gm17822   &lt;NA&gt;</w:t>
      </w:r>
      <w:r>
        <w:br/>
      </w:r>
      <w:r>
        <w:rPr>
          <w:rStyle w:val="VerbatimChar"/>
        </w:rPr>
        <w:t>## 6 MGI:MGI:3647796        Gm5723   &lt;NA&gt;</w:t>
      </w:r>
      <w:r>
        <w:br/>
      </w:r>
      <w:r>
        <w:rPr>
          <w:rStyle w:val="VerbatimChar"/>
        </w:rPr>
        <w:t xml:space="preserve">##                        </w:t>
      </w:r>
      <w:r>
        <w:rPr>
          <w:rStyle w:val="VerbatimChar"/>
        </w:rPr>
        <w:t xml:space="preserve">                                           Dbxref</w:t>
      </w:r>
      <w:r>
        <w:br/>
      </w:r>
      <w:r>
        <w:rPr>
          <w:rStyle w:val="VerbatimChar"/>
        </w:rPr>
        <w:t>## 1                                                       GenBank:AK010580</w:t>
      </w:r>
      <w:r>
        <w:br/>
      </w:r>
      <w:r>
        <w:rPr>
          <w:rStyle w:val="VerbatimChar"/>
        </w:rPr>
        <w:t>## 2                                             ENSEMBL:ENSMUSG00000093999</w:t>
      </w:r>
      <w:r>
        <w:br/>
      </w:r>
      <w:r>
        <w:rPr>
          <w:rStyle w:val="VerbatimChar"/>
        </w:rPr>
        <w:t>## 3 VEGA:OTTMUSG00000057788,NCBI_Gene:102634268,ENSEM</w:t>
      </w:r>
      <w:r>
        <w:rPr>
          <w:rStyle w:val="VerbatimChar"/>
        </w:rPr>
        <w:t>BL:ENSMUSG00000085413</w:t>
      </w:r>
      <w:r>
        <w:br/>
      </w:r>
      <w:r>
        <w:rPr>
          <w:rStyle w:val="VerbatimChar"/>
        </w:rPr>
        <w:t>## 4    VEGA:OTTMUSG00000029697,NCBI_Gene:243574,ENSEMBL:ENSMUSG00000030031</w:t>
      </w:r>
      <w:r>
        <w:br/>
      </w:r>
      <w:r>
        <w:rPr>
          <w:rStyle w:val="VerbatimChar"/>
        </w:rPr>
        <w:t>## 5 VEGA:OTTMUSG00000057789,NCBI_Gene:100328567,ENSEMBL:ENSMUSG00000107934</w:t>
      </w:r>
      <w:r>
        <w:br/>
      </w:r>
      <w:r>
        <w:rPr>
          <w:rStyle w:val="VerbatimChar"/>
        </w:rPr>
        <w:t>## 6    VEGA:OTTMUSG00000057790,NCBI_Gene:435912,ENSEMBL:ENSMUSG00000107900</w:t>
      </w:r>
      <w:r>
        <w:br/>
      </w:r>
      <w:r>
        <w:rPr>
          <w:rStyle w:val="VerbatimChar"/>
        </w:rPr>
        <w:t xml:space="preserve">##    </w:t>
      </w:r>
      <w:r>
        <w:rPr>
          <w:rStyle w:val="VerbatimChar"/>
        </w:rPr>
        <w:t xml:space="preserve">                                                         mgiName</w:t>
      </w:r>
      <w:r>
        <w:br/>
      </w:r>
      <w:r>
        <w:rPr>
          <w:rStyle w:val="VerbatimChar"/>
        </w:rPr>
        <w:t>## 1                                        RIKEN cDNA 2410024F20 gene</w:t>
      </w:r>
      <w:r>
        <w:br/>
      </w:r>
      <w:r>
        <w:rPr>
          <w:rStyle w:val="VerbatimChar"/>
        </w:rPr>
        <w:t>## 2                                           predicted gene%2c 26501</w:t>
      </w:r>
      <w:r>
        <w:br/>
      </w:r>
      <w:r>
        <w:rPr>
          <w:rStyle w:val="VerbatimChar"/>
        </w:rPr>
        <w:t>## 3 kelch repeat and BTB (POZ) domain containing</w:t>
      </w:r>
      <w:r>
        <w:rPr>
          <w:rStyle w:val="VerbatimChar"/>
        </w:rPr>
        <w:t xml:space="preserve"> 8%2c opposite strand</w:t>
      </w:r>
      <w:r>
        <w:br/>
      </w:r>
      <w:r>
        <w:rPr>
          <w:rStyle w:val="VerbatimChar"/>
        </w:rPr>
        <w:t>## 4                    kelch repeat and BTB (POZ) domain containing 8</w:t>
      </w:r>
      <w:r>
        <w:br/>
      </w:r>
      <w:r>
        <w:rPr>
          <w:rStyle w:val="VerbatimChar"/>
        </w:rPr>
        <w:t>## 5                                           predicted gene%2c 17822</w:t>
      </w:r>
      <w:r>
        <w:br/>
      </w:r>
      <w:r>
        <w:rPr>
          <w:rStyle w:val="VerbatimChar"/>
        </w:rPr>
        <w:t>## 6                                               predicted gene 5723</w:t>
      </w:r>
      <w:r>
        <w:br/>
      </w:r>
      <w:r>
        <w:rPr>
          <w:rStyle w:val="VerbatimChar"/>
        </w:rPr>
        <w:t>##                 bi</w:t>
      </w:r>
      <w:r>
        <w:rPr>
          <w:rStyle w:val="VerbatimChar"/>
        </w:rPr>
        <w:t>oType Alias</w:t>
      </w:r>
      <w:r>
        <w:br/>
      </w:r>
      <w:r>
        <w:rPr>
          <w:rStyle w:val="VerbatimChar"/>
        </w:rPr>
        <w:t>## 1     unclassified gene  &lt;NA&gt;</w:t>
      </w:r>
      <w:r>
        <w:br/>
      </w:r>
      <w:r>
        <w:rPr>
          <w:rStyle w:val="VerbatimChar"/>
        </w:rPr>
        <w:t>## 2            snRNA gene  &lt;NA&gt;</w:t>
      </w:r>
      <w:r>
        <w:br/>
      </w:r>
      <w:r>
        <w:rPr>
          <w:rStyle w:val="VerbatimChar"/>
        </w:rPr>
        <w:t>## 3 antisense lncRNA gene  &lt;NA&gt;</w:t>
      </w:r>
      <w:r>
        <w:br/>
      </w:r>
      <w:r>
        <w:rPr>
          <w:rStyle w:val="VerbatimChar"/>
        </w:rPr>
        <w:t>## 4   protein coding gene  &lt;NA&gt;</w:t>
      </w:r>
      <w:r>
        <w:br/>
      </w:r>
      <w:r>
        <w:rPr>
          <w:rStyle w:val="VerbatimChar"/>
        </w:rPr>
        <w:t>## 5            pseudogene  &lt;NA&gt;</w:t>
      </w:r>
      <w:r>
        <w:br/>
      </w:r>
      <w:r>
        <w:rPr>
          <w:rStyle w:val="VerbatimChar"/>
        </w:rPr>
        <w:t>## 6            pseudogene  &lt;NA&gt;</w:t>
      </w:r>
    </w:p>
    <w:p w:rsidR="007553A7" w:rsidRDefault="007C57C0">
      <w:pPr>
        <w:pStyle w:val="FirstParagraph"/>
      </w:pPr>
      <w:r>
        <w:t xml:space="preserve">The </w:t>
      </w:r>
      <w:r>
        <w:rPr>
          <w:rStyle w:val="VerbatimChar"/>
        </w:rPr>
        <w:t>genes</w:t>
      </w:r>
      <w:r>
        <w:t xml:space="preserve"> object contains annotation informati</w:t>
      </w:r>
      <w:r>
        <w:t>on for each gene in the interval.</w:t>
      </w:r>
    </w:p>
    <w:p w:rsidR="007553A7" w:rsidRDefault="007C57C0">
      <w:pPr>
        <w:pStyle w:val="BodyText"/>
      </w:pPr>
      <w:r>
        <w:t xml:space="preserve">Next, we will create a plot with two panels: one containing the association mapping LOD scores and one containing the genes in the QTL interval. We do this by passing in the </w:t>
      </w:r>
      <w:r>
        <w:rPr>
          <w:rStyle w:val="VerbatimChar"/>
        </w:rPr>
        <w:t>genes</w:t>
      </w:r>
      <w:r>
        <w:t xml:space="preserve"> argument to </w:t>
      </w:r>
      <w:hyperlink r:id="rId47">
        <w:r>
          <w:rPr>
            <w:rStyle w:val="Hyperlink"/>
          </w:rPr>
          <w:t>plot_snpasso</w:t>
        </w:r>
      </w:hyperlink>
      <w:r>
        <w:t>.</w:t>
      </w:r>
    </w:p>
    <w:p w:rsidR="007553A7" w:rsidRDefault="007C57C0">
      <w:pPr>
        <w:pStyle w:val="BodyText"/>
      </w:pPr>
      <w:r>
        <w:rPr>
          <w:noProof/>
        </w:rPr>
        <w:lastRenderedPageBreak/>
        <w:drawing>
          <wp:inline distT="0" distB="0" distL="0" distR="0">
            <wp:extent cx="5334000" cy="5334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logan_doqtl_files/figure-docx/plot_assoc2-1.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2967F3" w:rsidRDefault="002967F3" w:rsidP="002967F3">
      <w:pPr>
        <w:pStyle w:val="Heading4"/>
      </w:pPr>
      <w:r>
        <w:t>Identification of Candidate Genes</w:t>
      </w:r>
    </w:p>
    <w:p w:rsidR="002967F3" w:rsidRDefault="002967F3" w:rsidP="002967F3">
      <w:pPr>
        <w:pStyle w:val="FirstParagraph"/>
      </w:pPr>
      <w:r>
        <w:t>One strategy for finding genes related to a phenotype is to search for genes with expression QTL (</w:t>
      </w:r>
      <w:proofErr w:type="spellStart"/>
      <w:r>
        <w:t>eQTL</w:t>
      </w:r>
      <w:proofErr w:type="spellEnd"/>
      <w:r>
        <w:t xml:space="preserve">) in the same location. Ideally, we would have brain gene expression data in the DO mice from this experiment. Unfortunately, we did not collect this data. However, we have brain (Striatum) gene expression for </w:t>
      </w:r>
      <w:r w:rsidR="001B1A44">
        <w:t>a separate set of naive DO mice</w:t>
      </w:r>
      <w:r>
        <w:t xml:space="preserve">. We searched for genes in the QTL interval that had an </w:t>
      </w:r>
      <w:proofErr w:type="spellStart"/>
      <w:r>
        <w:t>eQTL</w:t>
      </w:r>
      <w:proofErr w:type="spellEnd"/>
      <w:r>
        <w:t xml:space="preserve"> in the same location. Then, we looked at the pattern of founder effects to see if PWK/</w:t>
      </w:r>
      <w:proofErr w:type="spellStart"/>
      <w:r>
        <w:t>PhJ</w:t>
      </w:r>
      <w:proofErr w:type="spellEnd"/>
      <w:r>
        <w:t xml:space="preserve"> stood out in addition to C57BL/6J and CAST/</w:t>
      </w:r>
      <w:proofErr w:type="spellStart"/>
      <w:r>
        <w:t>EiJ</w:t>
      </w:r>
      <w:proofErr w:type="spellEnd"/>
      <w:r>
        <w:t xml:space="preserve"> showing the same pattern. We found one gene that met these criteria.</w:t>
      </w:r>
    </w:p>
    <w:p w:rsidR="00AC2664" w:rsidRDefault="002967F3" w:rsidP="002967F3">
      <w:pPr>
        <w:pStyle w:val="BodyText"/>
      </w:pPr>
      <w:r>
        <w:rPr>
          <w:noProof/>
        </w:rPr>
        <w:lastRenderedPageBreak/>
        <w:drawing>
          <wp:inline distT="0" distB="0" distL="0" distR="0" wp14:anchorId="66498872" wp14:editId="2E0468DD">
            <wp:extent cx="5334000" cy="250470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gs/ENSMUSG00000035245_LOD.png"/>
                    <pic:cNvPicPr>
                      <a:picLocks noChangeAspect="1" noChangeArrowheads="1"/>
                    </pic:cNvPicPr>
                  </pic:nvPicPr>
                  <pic:blipFill>
                    <a:blip r:embed="rId49"/>
                    <a:stretch>
                      <a:fillRect/>
                    </a:stretch>
                  </pic:blipFill>
                  <pic:spPr bwMode="auto">
                    <a:xfrm>
                      <a:off x="0" y="0"/>
                      <a:ext cx="5334000" cy="2504707"/>
                    </a:xfrm>
                    <a:prstGeom prst="rect">
                      <a:avLst/>
                    </a:prstGeom>
                    <a:noFill/>
                    <a:ln w="9525">
                      <a:noFill/>
                      <a:headEnd/>
                      <a:tailEnd/>
                    </a:ln>
                  </pic:spPr>
                </pic:pic>
              </a:graphicData>
            </a:graphic>
          </wp:inline>
        </w:drawing>
      </w:r>
      <w:r>
        <w:rPr>
          <w:noProof/>
        </w:rPr>
        <w:drawing>
          <wp:inline distT="0" distB="0" distL="0" distR="0" wp14:anchorId="1E0E5786" wp14:editId="2740657B">
            <wp:extent cx="5334000" cy="3556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igs/ENSMUSG00000035245_EFFECT.png"/>
                    <pic:cNvPicPr>
                      <a:picLocks noChangeAspect="1" noChangeArrowheads="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rsidR="00B7355A" w:rsidRDefault="00B7355A" w:rsidP="002967F3">
      <w:pPr>
        <w:pStyle w:val="BodyText"/>
      </w:pPr>
    </w:p>
    <w:p w:rsidR="00B7355A" w:rsidRDefault="00A96AD5" w:rsidP="002967F3">
      <w:pPr>
        <w:pStyle w:val="BodyText"/>
      </w:pPr>
      <w:bookmarkStart w:id="15" w:name="_GoBack"/>
      <w:bookmarkEnd w:id="15"/>
      <w:r w:rsidRPr="00A96AD5">
        <w:rPr>
          <w:highlight w:val="yellow"/>
        </w:rPr>
        <w:t xml:space="preserve">To Add – </w:t>
      </w:r>
      <w:proofErr w:type="spellStart"/>
      <w:r w:rsidRPr="00A96AD5">
        <w:rPr>
          <w:highlight w:val="yellow"/>
        </w:rPr>
        <w:t>GeneWeaver</w:t>
      </w:r>
      <w:proofErr w:type="spellEnd"/>
      <w:r w:rsidRPr="00A96AD5">
        <w:rPr>
          <w:highlight w:val="yellow"/>
        </w:rPr>
        <w:t xml:space="preserve"> Query?</w:t>
      </w:r>
    </w:p>
    <w:sectPr w:rsidR="00B7355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57C0" w:rsidRDefault="007C57C0">
      <w:pPr>
        <w:spacing w:after="0"/>
      </w:pPr>
      <w:r>
        <w:separator/>
      </w:r>
    </w:p>
  </w:endnote>
  <w:endnote w:type="continuationSeparator" w:id="0">
    <w:p w:rsidR="007C57C0" w:rsidRDefault="007C57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57C0" w:rsidRDefault="007C57C0">
      <w:r>
        <w:separator/>
      </w:r>
    </w:p>
  </w:footnote>
  <w:footnote w:type="continuationSeparator" w:id="0">
    <w:p w:rsidR="007C57C0" w:rsidRDefault="007C57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17DE15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0898248"/>
    <w:multiLevelType w:val="multilevel"/>
    <w:tmpl w:val="B45847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B1A44"/>
    <w:rsid w:val="002967F3"/>
    <w:rsid w:val="004E29B3"/>
    <w:rsid w:val="004F22F6"/>
    <w:rsid w:val="00590D07"/>
    <w:rsid w:val="007479C6"/>
    <w:rsid w:val="007553A7"/>
    <w:rsid w:val="00784D58"/>
    <w:rsid w:val="007C57C0"/>
    <w:rsid w:val="008D6863"/>
    <w:rsid w:val="00A67C12"/>
    <w:rsid w:val="00A96AD5"/>
    <w:rsid w:val="00AC2664"/>
    <w:rsid w:val="00B7355A"/>
    <w:rsid w:val="00B86B75"/>
    <w:rsid w:val="00BC48D5"/>
    <w:rsid w:val="00C36279"/>
    <w:rsid w:val="00D322D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41732C"/>
  <w15:docId w15:val="{7FE00835-7535-0E47-8810-C0A24391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18.png"/><Relationship Id="rId21" Type="http://schemas.openxmlformats.org/officeDocument/2006/relationships/image" Target="media/image12.png"/><Relationship Id="rId34" Type="http://schemas.openxmlformats.org/officeDocument/2006/relationships/hyperlink" Target="http://www.sanger.ac.uk/resources/mouse/genomes/" TargetMode="External"/><Relationship Id="rId42" Type="http://schemas.openxmlformats.org/officeDocument/2006/relationships/hyperlink" Target="https://github.com/rqtl/qtl2/blob/master/R/plot_snpasso.R" TargetMode="External"/><Relationship Id="rId47" Type="http://schemas.openxmlformats.org/officeDocument/2006/relationships/hyperlink" Target="https://github.com/rqtl/qtl2/blob/master/R/plot_snpasso.R" TargetMode="External"/><Relationship Id="rId50" Type="http://schemas.openxmlformats.org/officeDocument/2006/relationships/image" Target="media/image23.png"/><Relationship Id="rId7" Type="http://schemas.openxmlformats.org/officeDocument/2006/relationships/hyperlink" Target="https://www.ncbi.nlm.nih.gov/pubmed/24700285"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github.com/rqtl/qtl2/blob/master/R/find_peaks.R" TargetMode="External"/><Relationship Id="rId11" Type="http://schemas.openxmlformats.org/officeDocument/2006/relationships/hyperlink" Target="ftp://ftp.jax.org/MUGA" TargetMode="External"/><Relationship Id="rId24" Type="http://schemas.openxmlformats.org/officeDocument/2006/relationships/hyperlink" Target="https://github.com/rqtl/qtl2/blob/master/R/plot_scan1.R" TargetMode="External"/><Relationship Id="rId32" Type="http://schemas.openxmlformats.org/officeDocument/2006/relationships/hyperlink" Target="https://github.com/rqtl/qtl2/blob/master/R/scan1coef.R" TargetMode="External"/><Relationship Id="rId37" Type="http://schemas.openxmlformats.org/officeDocument/2006/relationships/hyperlink" Target="../setup.md" TargetMode="External"/><Relationship Id="rId40" Type="http://schemas.openxmlformats.org/officeDocument/2006/relationships/image" Target="media/image19.png"/><Relationship Id="rId45" Type="http://schemas.openxmlformats.org/officeDocument/2006/relationships/hyperlink" Target="ftp://ftp.jax.org/dgatti/CC_SNP_DB/mouse_genes.sqlit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yperlink" Target="https://github.com/kbroman" TargetMode="External"/><Relationship Id="rId49"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rqtl/qtl2/blob/master/R/find_peaks.R" TargetMode="External"/><Relationship Id="rId44" Type="http://schemas.openxmlformats.org/officeDocument/2006/relationships/hyperlink" Target="https://github.com/kbroman"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genetics.org/content/178/1/609.long" TargetMode="External"/><Relationship Id="rId30" Type="http://schemas.openxmlformats.org/officeDocument/2006/relationships/hyperlink" Target="http://www.ncbi.nlm.nih.gov/pubmed/11560912" TargetMode="External"/><Relationship Id="rId35" Type="http://schemas.openxmlformats.org/officeDocument/2006/relationships/hyperlink" Target="http://www.nature.com/ng/journal/v45/n7/full/ng.2644.html" TargetMode="External"/><Relationship Id="rId43" Type="http://schemas.openxmlformats.org/officeDocument/2006/relationships/image" Target="media/image20.png"/><Relationship Id="rId48" Type="http://schemas.openxmlformats.org/officeDocument/2006/relationships/image" Target="media/image21.png"/><Relationship Id="rId8" Type="http://schemas.openxmlformats.org/officeDocument/2006/relationships/hyperlink" Target="https://www.ncbi.nlm.nih.gov/pubmed/23433259"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rqtl/qtl2/blob/master/R/plot_scan1.R" TargetMode="External"/><Relationship Id="rId33" Type="http://schemas.openxmlformats.org/officeDocument/2006/relationships/image" Target="media/image17.png"/><Relationship Id="rId38" Type="http://schemas.openxmlformats.org/officeDocument/2006/relationships/hyperlink" Target="ftp://ftp.jax.org/dgatti/CC_SNP_DB/cc_variants.sqlite" TargetMode="External"/><Relationship Id="rId46" Type="http://schemas.openxmlformats.org/officeDocument/2006/relationships/hyperlink" Target="../setup.md" TargetMode="External"/><Relationship Id="rId20" Type="http://schemas.openxmlformats.org/officeDocument/2006/relationships/image" Target="media/image11.png"/><Relationship Id="rId41" Type="http://schemas.openxmlformats.org/officeDocument/2006/relationships/hyperlink" Target="https://github.com/rqtl/qtl2/blob/master/R/scan1snps.R"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20</Pages>
  <Words>2500</Words>
  <Characters>14251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QTL analysis of behavioral traits in Diversity Outbred Mice</vt:lpstr>
    </vt:vector>
  </TitlesOfParts>
  <Company/>
  <LinksUpToDate>false</LinksUpToDate>
  <CharactersWithSpaces>16718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QTL analysis of behavioral traits in Diversity Outbred Mice</dc:title>
  <dc:creator>Vivek M. Philip</dc:creator>
  <cp:lastModifiedBy>Vivek M. Philip</cp:lastModifiedBy>
  <cp:revision>11</cp:revision>
  <dcterms:created xsi:type="dcterms:W3CDTF">2018-08-20T18:16:00Z</dcterms:created>
  <dcterms:modified xsi:type="dcterms:W3CDTF">2018-08-20T20:13:00Z</dcterms:modified>
</cp:coreProperties>
</file>