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Accelerating Auto Parts Revenue from $280K to $1.5M/Month</w:t>
      </w:r>
    </w:p>
    <w:p>
      <w:pPr>
        <w:pStyle w:val="Heading2"/>
      </w:pPr>
      <w:r>
        <w:rPr>
          <w:b/>
          <w:bCs/>
        </w:rPr>
        <w:t xml:space="preserve">Highlight</w:t>
      </w:r>
    </w:p>
    <w:p>
      <w:pPr>
        <w:pStyle w:val="ListParagraph"/>
        <w:numPr>
          <w:ilvl w:val="0"/>
          <w:numId w:val="2"/>
        </w:numPr>
      </w:pPr>
      <w:r>
        <w:t xml:space="preserve">Has one of the largest catalog of skus over 30,000 skus across 21 brands</w:t>
      </w:r>
    </w:p>
    <w:p>
      <w:pPr>
        <w:spacing w:after="200"/>
      </w:pPr>
      <w:r>
        <w:t xml:space="preserve">Our client is a premier online retailer specializing in automotive suspension and shocks, managing a massive catalog of over 30,000 SKUs. While the business was successful, they were sitting on a powder keg of potential during the global e-commerce boom. They were ready to dominate the market but lacked the campaign infrastructure to manage their inventory at scale. Over the course of our engagement, we overhauled their account architecture, driving a massive surge in revenue from $280K to $1.5M per month. a 435% increase by aligning their ad spend with their inventory realities.</w:t>
      </w:r>
    </w:p>
    <w:p>
      <w:pPr>
        <w:pStyle w:val="Heading2"/>
      </w:pPr>
      <w:r>
        <w:rPr>
          <w:b/>
          <w:bCs/>
        </w:rPr>
        <w:t xml:space="preserve">The Challenge: The 30,000 SKU Bottleneck</w:t>
      </w:r>
    </w:p>
    <w:p>
      <w:pPr>
        <w:spacing w:after="200"/>
      </w:pPr>
      <w:r>
        <w:t xml:space="preserve">With a catalog of 30,000 products, the client faced a classic “needle in a haystack” problem. The sheer volume of data paralyzed their previous strategy.</w:t>
      </w:r>
    </w:p>
    <w:p>
      <w:pPr>
        <w:pStyle w:val="ListParagraph"/>
        <w:numPr>
          <w:ilvl w:val="0"/>
          <w:numId w:val="3"/>
        </w:numPr>
      </w:pPr>
      <w:r>
        <w:t xml:space="preserve">The “One-Bucket” Trap: The entire 30,000 SKU catalog was dumped into a single Google Shopping campaign. This forced the algorithm to make broad, inefficient bidding decisions, often ignoring high-margin items in favor of cheap, high-click traffic.</w:t>
      </w:r>
    </w:p>
    <w:p>
      <w:pPr>
        <w:pStyle w:val="ListParagraph"/>
        <w:numPr>
          <w:ilvl w:val="0"/>
          <w:numId w:val="3"/>
        </w:numPr>
      </w:pPr>
      <w:r>
        <w:t xml:space="preserve">Inability to Prioritize: With so many products, the client had no way to direct budget toward their “Top Movers” (the suspension kits and shocks that actually drove profit). The winners were suffocating under the weight of thousands of “zombie” products that rarely converted.</w:t>
      </w:r>
    </w:p>
    <w:p>
      <w:pPr>
        <w:pStyle w:val="ListParagraph"/>
        <w:numPr>
          <w:ilvl w:val="0"/>
          <w:numId w:val="3"/>
        </w:numPr>
      </w:pPr>
      <w:r>
        <w:t xml:space="preserve">The Opportunity Cost: The market demand for auto parts was exploding, but without a segmented strategy, they were leaving market share on the table for competitors with better-organized accounts.</w:t>
      </w:r>
    </w:p>
    <w:p>
      <w:pPr>
        <w:pStyle w:val="Heading2"/>
      </w:pPr>
      <w:r>
        <w:rPr>
          <w:b/>
          <w:bCs/>
        </w:rPr>
        <w:t xml:space="preserve">The Solution: A Brand-Tiered Segmentation Matrix</w:t>
      </w:r>
    </w:p>
    <w:p>
      <w:pPr>
        <w:spacing w:after="200"/>
      </w:pPr>
      <w:r>
        <w:t xml:space="preserve">We moved away from the “catch-all” approach and deployed a strict, value-based hierarchy to organize the 30,000 SKU catalog.</w:t>
      </w:r>
    </w:p>
    <w:p>
      <w:pPr>
        <w:pStyle w:val="ListParagraph"/>
        <w:numPr>
          <w:ilvl w:val="0"/>
          <w:numId w:val="2"/>
        </w:numPr>
      </w:pPr>
      <w:r>
        <w:t xml:space="preserve">Phase 1: Profit-First Prioritization — As a reseller, not all brands yield the same margin. We ignored the “long tail” initially and focused our resources on the Most Profitable Brands. We ensured these high-margin lines had 100% coverage across both Search and Shopping, effectively dominating the shelf space for the products that contributed most to the bottom line.</w:t>
      </w:r>
    </w:p>
    <w:p>
      <w:pPr>
        <w:pStyle w:val="ListParagraph"/>
        <w:numPr>
          <w:ilvl w:val="0"/>
          <w:numId w:val="2"/>
        </w:numPr>
      </w:pPr>
      <w:r>
        <w:t xml:space="preserve">Phase 2: Series-Level Granularity — Simply organizing by “Brand” wasn’t enough. We drilled down into Product Series (e.g., specific suspension lines) to align our keywords with user intent. By segmenting campaigns by Series and Price Point, we ensured that a customer searching for a premium performance kit wasn’t shown an entry-level shock absorber. This drastically increased ad relevance and Click-Through Rates (CTR).</w:t>
      </w:r>
    </w:p>
    <w:p>
      <w:pPr>
        <w:pStyle w:val="ListParagraph"/>
        <w:numPr>
          <w:ilvl w:val="0"/>
          <w:numId w:val="2"/>
        </w:numPr>
      </w:pPr>
      <w:r>
        <w:t xml:space="preserve">Phase 3: The “Waterfall” Expansion — Once the high-profit brands were stabilized, we expanded to High-Volume Brands. We used a “waterfall” approach, slowly working our way down to lower-visibility products.</w:t>
      </w:r>
    </w:p>
    <w:p>
      <w:pPr>
        <w:pStyle w:val="ListParagraph"/>
        <w:numPr>
          <w:ilvl w:val="0"/>
          <w:numId w:val="2"/>
        </w:numPr>
      </w:pPr>
      <w:r>
        <w:t xml:space="preserve">Phase 4: Custom Label Logic — We utilized Custom Labels in the product feed to tag items dynamically as “Top Seller,” “High Profit,” or “High Volume.” This allowed us to bid aggressively on winners while suppressing bids on low-margin inventory without having to manually adjust thousands of product groups.</w:t>
      </w:r>
    </w:p>
    <w:p>
      <w:pPr>
        <w:pStyle w:val="Heading2"/>
      </w:pPr>
      <w:r>
        <w:rPr>
          <w:b/>
          <w:bCs/>
        </w:rPr>
        <w:t xml:space="preserve">The Outcome: Dominating Market Share with Lean Efficiency</w:t>
      </w:r>
    </w:p>
    <w:p>
      <w:pPr>
        <w:spacing w:after="200"/>
      </w:pPr>
      <w:r>
        <w:t xml:space="preserve">In the low-margin world of auto parts reselling, volume means nothing without profitability. By cutting wasted spend on “zombie products” and funneling budget toward high-margin brands, we achieved a rare “double win”: skyrocketing revenue while driving down acquisition costs.</w:t>
      </w:r>
    </w:p>
    <w:p>
      <w:pPr>
        <w:pStyle w:val="ListParagraph"/>
        <w:numPr>
          <w:ilvl w:val="0"/>
          <w:numId w:val="2"/>
        </w:numPr>
      </w:pPr>
      <w:r>
        <w:t xml:space="preserve">Revenue Growth: Scaled monthly revenue from $280K to $1.5 Million (+435%).</w:t>
      </w:r>
    </w:p>
    <w:p>
      <w:pPr>
        <w:pStyle w:val="ListParagraph"/>
        <w:numPr>
          <w:ilvl w:val="0"/>
          <w:numId w:val="2"/>
        </w:numPr>
      </w:pPr>
      <w:r>
        <w:t xml:space="preserve">Cost Efficiency: Decreased nCAC (New Customer Acquisition Cost) by 30% within the first 3 months by eliminating wasted spend on non-converting inventory.</w:t>
      </w:r>
    </w:p>
    <w:p>
      <w:pPr>
        <w:pStyle w:val="ListParagraph"/>
        <w:numPr>
          <w:ilvl w:val="0"/>
          <w:numId w:val="2"/>
        </w:numPr>
      </w:pPr>
      <w:r>
        <w:t xml:space="preserve">Profitability: Maintained a healthy 10x MER (Marketing Efficiency Ratio) ensuring the bottom line grew as fast as the top line.</w:t>
      </w:r>
    </w:p>
    <w:p>
      <w:pPr>
        <w:pStyle w:val="ListParagraph"/>
        <w:numPr>
          <w:ilvl w:val="0"/>
          <w:numId w:val="2"/>
        </w:numPr>
      </w:pPr>
      <w:r>
        <w:t xml:space="preserve">Market Dominance: Increased Search Impression Share from 40% to 54% and Click Share by 4%, proving we were effectively stealing visibility from competitors on the most profitable search terms.</w:t>
      </w:r>
    </w:p>
    <w:p>
      <w:pPr>
        <w:pStyle w:val="ListParagraph"/>
        <w:numPr>
          <w:ilvl w:val="0"/>
          <w:numId w:val="2"/>
        </w:numPr>
      </w:pPr>
      <w:r>
        <w:t xml:space="preserve">Volume Velocity: Successfully doubled total order volume within just the first 6 months of the restructure.</w:t>
      </w:r>
    </w:p>
    <w:p>
      <w:pPr>
        <w:pStyle w:val="Heading2"/>
      </w:pPr>
      <w:r>
        <w:rPr>
          <w:b/>
          <w:bCs/>
        </w:rPr>
        <w:t xml:space="preserve">The Lesson: Prioritization Beats “Catch-All” Strategies</w:t>
      </w:r>
    </w:p>
    <w:p>
      <w:pPr>
        <w:spacing w:after="200"/>
      </w:pPr>
      <w:r>
        <w:t xml:space="preserve">Managing a 30,000 SKU catalog requires more than just a large budget; it requires strict architectural discipline. This case study proves that for massive inventories, success lies in segmentation. By prioritizing products based on business value (Profitability &gt; Volume) rather than treating every SKU equally, we turned a chaotic account into a streamlined, high-output machine.</w:t>
      </w:r>
    </w:p>
    <w:p>
      <w:pPr>
        <w:pStyle w:val="Heading2"/>
      </w:pPr>
      <w:r>
        <w:rPr>
          <w:b/>
          <w:bCs/>
        </w:rPr>
        <w:t xml:space="preserve">Looking Forward</w:t>
      </w:r>
    </w:p>
    <w:p>
      <w:pPr>
        <w:spacing w:after="200"/>
      </w:pPr>
      <w:r>
        <w:t xml:space="preserve">With our Search and Shopping campaigns dominating the “high-intent” market, YouTube ads become the next growth lever. By targeting automotive enthusiasts with visual content demonstrating product performance, it will solidify brand preference and fuel the top of the funnel for the next wave of scaling.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2026-04-06T22:08:32.288Z</dcterms:created>
  <dcterms:modified xsi:type="dcterms:W3CDTF">2026-04-06T22:08:32.289Z</dcterms:modified>
</cp:coreProperties>
</file>

<file path=docProps/custom.xml><?xml version="1.0" encoding="utf-8"?>
<Properties xmlns="http://schemas.openxmlformats.org/officeDocument/2006/custom-properties" xmlns:vt="http://schemas.openxmlformats.org/officeDocument/2006/docPropsVTypes"/>
</file>